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7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49" w:rsidRDefault="00926149" w:rsidP="00FD65C3">
      <w:pPr>
        <w:pStyle w:val="ECHRDecisionBody"/>
        <w:jc w:val="center"/>
      </w:pPr>
    </w:p>
    <w:p w:rsidR="0051176C" w:rsidRPr="000C0EAC" w:rsidRDefault="0051176C" w:rsidP="00FD65C3">
      <w:pPr>
        <w:pStyle w:val="ECHRDecisionBody"/>
        <w:jc w:val="center"/>
      </w:pPr>
    </w:p>
    <w:p w:rsidR="00926149" w:rsidRPr="000C0EAC" w:rsidRDefault="00926149" w:rsidP="00653495">
      <w:pPr>
        <w:jc w:val="center"/>
        <w:rPr>
          <w:lang w:val="fr-FR"/>
        </w:rPr>
      </w:pPr>
    </w:p>
    <w:p w:rsidR="00926149" w:rsidRPr="00522F06" w:rsidRDefault="0051176C" w:rsidP="00653495">
      <w:pPr>
        <w:tabs>
          <w:tab w:val="left" w:pos="5529"/>
        </w:tabs>
        <w:jc w:val="center"/>
        <w:rPr>
          <w:lang w:val="fr-FR"/>
        </w:rPr>
      </w:pPr>
      <w:r w:rsidRPr="00522F06">
        <w:rPr>
          <w:lang w:val="fr-FR"/>
        </w:rPr>
        <w:t>DEUXIÈME SECTION</w:t>
      </w: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FB570F" w:rsidRPr="00522F06" w:rsidRDefault="00FB570F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51176C" w:rsidRPr="00522F06" w:rsidRDefault="000D73DC" w:rsidP="0051176C">
      <w:pPr>
        <w:jc w:val="center"/>
        <w:rPr>
          <w:b/>
          <w:lang w:val="fr-FR"/>
        </w:rPr>
      </w:pPr>
      <w:bookmarkStart w:id="0" w:name="To"/>
      <w:r w:rsidRPr="00522F06">
        <w:rPr>
          <w:b/>
          <w:lang w:val="fr-FR"/>
        </w:rPr>
        <w:t>AFFAIRE</w:t>
      </w:r>
      <w:r w:rsidR="0051176C" w:rsidRPr="00522F06">
        <w:rPr>
          <w:b/>
          <w:lang w:val="fr-FR"/>
        </w:rPr>
        <w:t xml:space="preserve"> </w:t>
      </w:r>
      <w:bookmarkEnd w:id="0"/>
      <w:r w:rsidR="0051176C" w:rsidRPr="00522F06">
        <w:rPr>
          <w:b/>
          <w:lang w:val="fr-FR"/>
        </w:rPr>
        <w:t>LIMATA ET AUTRES c. ITALIE</w:t>
      </w:r>
    </w:p>
    <w:p w:rsidR="0051176C" w:rsidRPr="00522F06" w:rsidRDefault="0051176C" w:rsidP="0051176C">
      <w:pPr>
        <w:jc w:val="center"/>
        <w:rPr>
          <w:lang w:val="fr-FR"/>
        </w:rPr>
      </w:pPr>
    </w:p>
    <w:p w:rsidR="0051176C" w:rsidRPr="00522F06" w:rsidRDefault="0051176C" w:rsidP="0051176C">
      <w:pPr>
        <w:jc w:val="center"/>
        <w:rPr>
          <w:i/>
          <w:lang w:val="fr-FR"/>
        </w:rPr>
      </w:pPr>
      <w:r w:rsidRPr="00522F06">
        <w:rPr>
          <w:lang w:val="fr-FR"/>
        </w:rPr>
        <w:t>(</w:t>
      </w:r>
      <w:r w:rsidRPr="00522F06">
        <w:rPr>
          <w:i/>
          <w:lang w:val="fr-FR"/>
        </w:rPr>
        <w:t>Requêtes n</w:t>
      </w:r>
      <w:r w:rsidRPr="00522F06">
        <w:rPr>
          <w:i/>
          <w:vertAlign w:val="superscript"/>
          <w:lang w:val="fr-FR"/>
        </w:rPr>
        <w:t>os</w:t>
      </w:r>
      <w:r w:rsidRPr="00522F06">
        <w:rPr>
          <w:i/>
          <w:lang w:val="fr-FR"/>
        </w:rPr>
        <w:t xml:space="preserve"> </w:t>
      </w:r>
      <w:bookmarkStart w:id="1" w:name="OLE_LINK11"/>
      <w:bookmarkStart w:id="2" w:name="OLE_LINK12"/>
      <w:bookmarkStart w:id="3" w:name="OLE_LINK4"/>
      <w:bookmarkStart w:id="4" w:name="OLE_LINK9"/>
      <w:bookmarkStart w:id="5" w:name="OLE_LINK10"/>
      <w:r w:rsidRPr="00522F06">
        <w:rPr>
          <w:i/>
          <w:lang w:val="fr-FR"/>
        </w:rPr>
        <w:t>16412/03</w:t>
      </w:r>
      <w:bookmarkEnd w:id="1"/>
      <w:bookmarkEnd w:id="2"/>
      <w:r w:rsidRPr="00522F06">
        <w:rPr>
          <w:i/>
          <w:lang w:val="fr-FR"/>
        </w:rPr>
        <w:t>, 16413/03, 16414/03, 16415/03, 16416/03, 16417/03, 22294/0</w:t>
      </w:r>
      <w:bookmarkEnd w:id="3"/>
      <w:r w:rsidRPr="00522F06">
        <w:rPr>
          <w:i/>
          <w:lang w:val="fr-FR"/>
        </w:rPr>
        <w:t>3</w:t>
      </w:r>
      <w:bookmarkEnd w:id="4"/>
      <w:bookmarkEnd w:id="5"/>
      <w:r w:rsidRPr="00522F06">
        <w:rPr>
          <w:i/>
          <w:lang w:val="fr-FR"/>
        </w:rPr>
        <w:t>, 22351/03, 22353/03, 22354/03 et 22355/03)</w:t>
      </w: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8A4A70" w:rsidRPr="00522F06" w:rsidRDefault="00926149" w:rsidP="00905716">
      <w:pPr>
        <w:jc w:val="center"/>
        <w:outlineLvl w:val="0"/>
        <w:rPr>
          <w:lang w:val="fr-FR"/>
        </w:rPr>
      </w:pPr>
      <w:r w:rsidRPr="00522F06">
        <w:rPr>
          <w:lang w:val="fr-FR"/>
        </w:rPr>
        <w:t>ARRÊ</w:t>
      </w:r>
      <w:r w:rsidR="00DD2E16" w:rsidRPr="00522F06">
        <w:rPr>
          <w:lang w:val="fr-FR"/>
        </w:rPr>
        <w:t>T</w:t>
      </w:r>
    </w:p>
    <w:p w:rsidR="004503F0" w:rsidRPr="00522F06" w:rsidRDefault="004503F0" w:rsidP="00653495">
      <w:pPr>
        <w:jc w:val="center"/>
        <w:rPr>
          <w:lang w:val="fr-FR"/>
        </w:rPr>
      </w:pPr>
    </w:p>
    <w:p w:rsidR="004503F0" w:rsidRPr="00522F06" w:rsidRDefault="004503F0" w:rsidP="00653495">
      <w:pPr>
        <w:jc w:val="center"/>
        <w:rPr>
          <w:i/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51176C" w:rsidRPr="00522F06" w:rsidRDefault="0051176C" w:rsidP="00653495">
      <w:pPr>
        <w:jc w:val="center"/>
        <w:rPr>
          <w:lang w:val="fr-FR"/>
        </w:rPr>
      </w:pPr>
    </w:p>
    <w:p w:rsidR="00926149" w:rsidRPr="00522F06" w:rsidRDefault="00926149" w:rsidP="00905716">
      <w:pPr>
        <w:jc w:val="center"/>
        <w:outlineLvl w:val="0"/>
        <w:rPr>
          <w:lang w:val="fr-FR"/>
        </w:rPr>
      </w:pPr>
      <w:r w:rsidRPr="00522F06">
        <w:rPr>
          <w:lang w:val="fr-FR"/>
        </w:rPr>
        <w:t>STRASBOURG</w:t>
      </w: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51176C" w:rsidP="00653495">
      <w:pPr>
        <w:jc w:val="center"/>
        <w:rPr>
          <w:lang w:val="fr-FR"/>
        </w:rPr>
      </w:pPr>
      <w:r w:rsidRPr="00522F06">
        <w:rPr>
          <w:lang w:val="fr-FR"/>
        </w:rPr>
        <w:t>10 décembre 2013</w:t>
      </w:r>
    </w:p>
    <w:p w:rsidR="00926149" w:rsidRPr="00522F06" w:rsidRDefault="00926149" w:rsidP="00653495">
      <w:pPr>
        <w:jc w:val="center"/>
        <w:rPr>
          <w:lang w:val="fr-FR"/>
        </w:rPr>
      </w:pPr>
    </w:p>
    <w:p w:rsidR="00926149" w:rsidRPr="00522F06" w:rsidRDefault="00926149" w:rsidP="00653495">
      <w:pPr>
        <w:jc w:val="center"/>
        <w:rPr>
          <w:lang w:val="fr-FR"/>
        </w:rPr>
      </w:pPr>
    </w:p>
    <w:p w:rsidR="0051176C" w:rsidRPr="00522F06" w:rsidRDefault="0051176C" w:rsidP="00653495">
      <w:pPr>
        <w:jc w:val="center"/>
        <w:rPr>
          <w:lang w:val="fr-FR"/>
        </w:rPr>
      </w:pPr>
    </w:p>
    <w:p w:rsidR="0051176C" w:rsidRPr="00522F06" w:rsidRDefault="0051176C" w:rsidP="00653495">
      <w:pPr>
        <w:jc w:val="center"/>
        <w:rPr>
          <w:lang w:val="fr-FR"/>
        </w:rPr>
      </w:pPr>
    </w:p>
    <w:p w:rsidR="0051176C" w:rsidRPr="00522F06" w:rsidRDefault="0051176C" w:rsidP="00653495">
      <w:pPr>
        <w:jc w:val="center"/>
        <w:rPr>
          <w:lang w:val="fr-FR"/>
        </w:rPr>
      </w:pPr>
    </w:p>
    <w:p w:rsidR="00926149" w:rsidRPr="00522F06" w:rsidRDefault="00245D70" w:rsidP="00245D70">
      <w:pPr>
        <w:jc w:val="center"/>
        <w:rPr>
          <w:i/>
          <w:lang w:val="fr-FR"/>
        </w:rPr>
      </w:pPr>
      <w:r w:rsidRPr="00522F06">
        <w:rPr>
          <w:i/>
          <w:sz w:val="22"/>
          <w:lang w:val="fr-FR"/>
        </w:rPr>
        <w:t xml:space="preserve">Cet arrêt </w:t>
      </w:r>
      <w:r w:rsidR="0051176C" w:rsidRPr="00522F06">
        <w:rPr>
          <w:i/>
          <w:sz w:val="22"/>
          <w:lang w:val="fr-FR"/>
        </w:rPr>
        <w:t>est définitif</w:t>
      </w:r>
      <w:r w:rsidRPr="00522F06">
        <w:rPr>
          <w:i/>
          <w:sz w:val="22"/>
          <w:lang w:val="fr-FR"/>
        </w:rPr>
        <w:t>. Il peut subir des retouches de forme.</w:t>
      </w:r>
    </w:p>
    <w:p w:rsidR="00926149" w:rsidRPr="00522F06" w:rsidRDefault="00926149">
      <w:pPr>
        <w:rPr>
          <w:lang w:val="fr-FR"/>
        </w:rPr>
        <w:sectPr w:rsidR="00926149" w:rsidRPr="00522F0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</w:sectPr>
      </w:pPr>
    </w:p>
    <w:p w:rsidR="00926149" w:rsidRPr="00522F06" w:rsidRDefault="00926149" w:rsidP="00C43103">
      <w:pPr>
        <w:pStyle w:val="JuCase"/>
        <w:rPr>
          <w:lang w:val="fr-FR"/>
        </w:rPr>
      </w:pPr>
      <w:r w:rsidRPr="00522F06">
        <w:rPr>
          <w:lang w:val="fr-FR"/>
        </w:rPr>
        <w:t>En l</w:t>
      </w:r>
      <w:r w:rsidR="00522F06">
        <w:rPr>
          <w:lang w:val="fr-FR"/>
        </w:rPr>
        <w:t>’</w:t>
      </w:r>
      <w:r w:rsidRPr="00522F06">
        <w:rPr>
          <w:lang w:val="fr-FR"/>
        </w:rPr>
        <w:t xml:space="preserve">affaire </w:t>
      </w:r>
      <w:r w:rsidR="0051176C" w:rsidRPr="00522F06">
        <w:rPr>
          <w:lang w:val="fr-FR"/>
        </w:rPr>
        <w:t>Limata et autres c. Italie</w:t>
      </w:r>
      <w:r w:rsidRPr="00522F06">
        <w:rPr>
          <w:lang w:val="fr-FR"/>
        </w:rPr>
        <w:t>,</w:t>
      </w:r>
    </w:p>
    <w:p w:rsidR="0051176C" w:rsidRPr="00522F06" w:rsidRDefault="0051176C" w:rsidP="0051176C">
      <w:pPr>
        <w:pStyle w:val="ECHRPara"/>
      </w:pPr>
      <w:r w:rsidRPr="00522F06">
        <w:t>La Cour européenne des droits de l</w:t>
      </w:r>
      <w:r w:rsidR="00522F06">
        <w:t>’</w:t>
      </w:r>
      <w:r w:rsidRPr="00522F06">
        <w:t xml:space="preserve">homme (deuxième section), siégeant en </w:t>
      </w:r>
      <w:r w:rsidRPr="00522F06">
        <w:rPr>
          <w:noProof/>
        </w:rPr>
        <w:t>un Comité composé</w:t>
      </w:r>
      <w:r w:rsidRPr="00522F06">
        <w:t xml:space="preserve"> de :</w:t>
      </w:r>
    </w:p>
    <w:p w:rsidR="0051176C" w:rsidRPr="00522F06" w:rsidRDefault="0051176C" w:rsidP="0051176C">
      <w:pPr>
        <w:pStyle w:val="ECHRDecisionBody"/>
      </w:pPr>
      <w:r w:rsidRPr="00522F06">
        <w:tab/>
        <w:t>Peer Lorenzen,</w:t>
      </w:r>
      <w:r w:rsidRPr="00522F06">
        <w:rPr>
          <w:i/>
        </w:rPr>
        <w:t xml:space="preserve"> président,</w:t>
      </w:r>
      <w:r w:rsidRPr="00522F06">
        <w:rPr>
          <w:i/>
        </w:rPr>
        <w:br/>
      </w:r>
      <w:r w:rsidRPr="00522F06">
        <w:tab/>
        <w:t>András Sajó,</w:t>
      </w:r>
      <w:r w:rsidRPr="00522F06">
        <w:rPr>
          <w:i/>
        </w:rPr>
        <w:br/>
      </w:r>
      <w:r w:rsidRPr="00522F06">
        <w:tab/>
        <w:t>Nebojša Vučinić,</w:t>
      </w:r>
      <w:r w:rsidRPr="00522F06">
        <w:rPr>
          <w:i/>
        </w:rPr>
        <w:t xml:space="preserve"> juges,</w:t>
      </w:r>
      <w:r w:rsidRPr="00522F06">
        <w:br/>
        <w:t xml:space="preserve">et de </w:t>
      </w:r>
      <w:r w:rsidRPr="00522F06">
        <w:rPr>
          <w:noProof/>
        </w:rPr>
        <w:t>Seçkin Erel</w:t>
      </w:r>
      <w:r w:rsidRPr="00522F06">
        <w:t xml:space="preserve">, </w:t>
      </w:r>
      <w:r w:rsidRPr="00522F06">
        <w:rPr>
          <w:i/>
          <w:noProof/>
        </w:rPr>
        <w:t>greffier adjoint</w:t>
      </w:r>
      <w:r w:rsidRPr="00522F06">
        <w:rPr>
          <w:iCs/>
          <w:noProof/>
        </w:rPr>
        <w:t xml:space="preserve"> </w:t>
      </w:r>
      <w:r w:rsidRPr="00522F06">
        <w:rPr>
          <w:i/>
          <w:iCs/>
          <w:noProof/>
        </w:rPr>
        <w:t>d</w:t>
      </w:r>
      <w:r w:rsidRPr="00522F06">
        <w:rPr>
          <w:i/>
          <w:noProof/>
        </w:rPr>
        <w:t>e section f.f.</w:t>
      </w:r>
      <w:r w:rsidRPr="00522F06">
        <w:rPr>
          <w:i/>
        </w:rPr>
        <w:t>,</w:t>
      </w:r>
    </w:p>
    <w:p w:rsidR="0051176C" w:rsidRPr="00522F06" w:rsidRDefault="0051176C" w:rsidP="0051176C">
      <w:pPr>
        <w:pStyle w:val="ECHRPara"/>
      </w:pPr>
      <w:r w:rsidRPr="00522F06">
        <w:t xml:space="preserve">Après en avoir délibéré en chambre du conseil le </w:t>
      </w:r>
      <w:r w:rsidR="0082442F" w:rsidRPr="00522F06">
        <w:t>19</w:t>
      </w:r>
      <w:r w:rsidRPr="00522F06">
        <w:t xml:space="preserve"> novembre 2013,</w:t>
      </w:r>
    </w:p>
    <w:p w:rsidR="0051176C" w:rsidRPr="00522F06" w:rsidRDefault="0051176C" w:rsidP="0051176C">
      <w:pPr>
        <w:pStyle w:val="ECHRPara"/>
      </w:pPr>
      <w:r w:rsidRPr="00522F06">
        <w:t>Rend l</w:t>
      </w:r>
      <w:r w:rsidR="00522F06">
        <w:t>’</w:t>
      </w:r>
      <w:r w:rsidRPr="00522F06">
        <w:t>arrêt que voici, adopté à cette date :</w:t>
      </w:r>
    </w:p>
    <w:p w:rsidR="0051176C" w:rsidRPr="00522F06" w:rsidRDefault="0051176C" w:rsidP="0051176C">
      <w:pPr>
        <w:pStyle w:val="ECHRTitle1"/>
      </w:pPr>
      <w:r w:rsidRPr="00522F06">
        <w:t>PROCÉDURE</w:t>
      </w:r>
    </w:p>
    <w:p w:rsidR="002E2BD5" w:rsidRPr="00522F06" w:rsidRDefault="00B140C4" w:rsidP="0051176C">
      <w:pPr>
        <w:pStyle w:val="ECHRPara"/>
        <w:rPr>
          <w:noProof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="0051176C" w:rsidRPr="00522F06">
        <w:t>.  A l</w:t>
      </w:r>
      <w:r w:rsidR="00522F06">
        <w:t>’</w:t>
      </w:r>
      <w:r w:rsidR="0051176C" w:rsidRPr="00522F06">
        <w:t>origine de l</w:t>
      </w:r>
      <w:r w:rsidR="00522F06">
        <w:t>’</w:t>
      </w:r>
      <w:r w:rsidR="0051176C" w:rsidRPr="00522F06">
        <w:t xml:space="preserve">affaire </w:t>
      </w:r>
      <w:r w:rsidR="0051176C" w:rsidRPr="00522F06">
        <w:rPr>
          <w:noProof/>
        </w:rPr>
        <w:t>se trouvent onze requêtes (n</w:t>
      </w:r>
      <w:r w:rsidR="0051176C" w:rsidRPr="00522F06">
        <w:rPr>
          <w:noProof/>
          <w:vertAlign w:val="superscript"/>
        </w:rPr>
        <w:t>os</w:t>
      </w:r>
      <w:r w:rsidR="0051176C" w:rsidRPr="00522F06">
        <w:rPr>
          <w:noProof/>
        </w:rPr>
        <w:t xml:space="preserve"> </w:t>
      </w:r>
      <w:r w:rsidR="0051176C" w:rsidRPr="00522F06">
        <w:t>16412/03, 16413/03, 16414/03, 16415/03, 16416/03, 16417/03, 22294/03, 22351/03, 22353/03, 22354/03 et 22355/03</w:t>
      </w:r>
      <w:r w:rsidR="0051176C" w:rsidRPr="00522F06">
        <w:rPr>
          <w:noProof/>
        </w:rPr>
        <w:t>) dirigées</w:t>
      </w:r>
      <w:r w:rsidR="0051176C" w:rsidRPr="00522F06">
        <w:t xml:space="preserve"> contre la République italienne et dont </w:t>
      </w:r>
      <w:r w:rsidR="0051176C" w:rsidRPr="00522F06">
        <w:rPr>
          <w:noProof/>
        </w:rPr>
        <w:t xml:space="preserve">des ressortissants de cet Etat </w:t>
      </w:r>
      <w:r w:rsidR="0051176C" w:rsidRPr="00522F06">
        <w:t>(« les requérants », voir tableau en annexe)</w:t>
      </w:r>
      <w:r w:rsidR="0051176C" w:rsidRPr="00522F06">
        <w:rPr>
          <w:noProof/>
        </w:rPr>
        <w:t xml:space="preserve">, </w:t>
      </w:r>
      <w:bookmarkStart w:id="6" w:name="OLE_LINK5"/>
      <w:bookmarkStart w:id="7" w:name="OLE_LINK6"/>
      <w:r w:rsidR="0051176C" w:rsidRPr="00522F06">
        <w:rPr>
          <w:noProof/>
        </w:rPr>
        <w:t xml:space="preserve">ont saisi la Cour </w:t>
      </w:r>
      <w:r w:rsidR="0051176C" w:rsidRPr="00522F06">
        <w:t>en vertu de l</w:t>
      </w:r>
      <w:r w:rsidR="00522F06">
        <w:t>’</w:t>
      </w:r>
      <w:r w:rsidR="0051176C" w:rsidRPr="00522F06">
        <w:t xml:space="preserve">article </w:t>
      </w:r>
      <w:r w:rsidR="0051176C" w:rsidRPr="00522F06">
        <w:rPr>
          <w:noProof/>
        </w:rPr>
        <w:t>34</w:t>
      </w:r>
      <w:r w:rsidR="0051176C" w:rsidRPr="00522F06">
        <w:t xml:space="preserve"> de la Convention de sauvegarde des droits de l</w:t>
      </w:r>
      <w:r w:rsidR="00522F06">
        <w:t>’</w:t>
      </w:r>
      <w:r w:rsidR="0051176C" w:rsidRPr="00522F06">
        <w:t>homme et des libertés fondamentales (« la Convention »).</w:t>
      </w:r>
      <w:bookmarkEnd w:id="6"/>
      <w:bookmarkEnd w:id="7"/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 w:rsidR="0051176C" w:rsidRPr="00522F06">
        <w:t>.  </w:t>
      </w:r>
      <w:r w:rsidR="0051176C" w:rsidRPr="00522F06">
        <w:rPr>
          <w:noProof/>
        </w:rPr>
        <w:t>Les requérants sont représentés par M</w:t>
      </w:r>
      <w:r w:rsidR="0051176C" w:rsidRPr="00522F06">
        <w:rPr>
          <w:noProof/>
          <w:vertAlign w:val="superscript"/>
        </w:rPr>
        <w:t>es</w:t>
      </w:r>
      <w:r w:rsidR="0051176C" w:rsidRPr="00522F06">
        <w:rPr>
          <w:noProof/>
        </w:rPr>
        <w:t xml:space="preserve"> A. et C. Paglia, avocats à Bénevent. </w:t>
      </w:r>
      <w:r w:rsidR="0051176C" w:rsidRPr="00522F06">
        <w:t>Le gouvernement italien (« le Gouvernement ») a été représenté successivement par ses agents, M. I.M. Braguglia et M</w:t>
      </w:r>
      <w:r w:rsidR="0051176C" w:rsidRPr="00522F06">
        <w:rPr>
          <w:vertAlign w:val="superscript"/>
        </w:rPr>
        <w:t>me</w:t>
      </w:r>
      <w:r w:rsidR="0051176C" w:rsidRPr="00522F06">
        <w:t> E. Spatafora, et son ancien coagent, M. N. Lettieri.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r w:rsidR="0051176C" w:rsidRPr="00522F06">
        <w:t>.  </w:t>
      </w:r>
      <w:bookmarkStart w:id="8" w:name="OLE_LINK7"/>
      <w:bookmarkStart w:id="9" w:name="OLE_LINK8"/>
      <w:r w:rsidR="0051176C" w:rsidRPr="00522F06">
        <w:t xml:space="preserve">Les 24 mai 2004 (pour les requêtes </w:t>
      </w:r>
      <w:r w:rsidR="0051176C" w:rsidRPr="00522F06">
        <w:rPr>
          <w:noProof/>
        </w:rPr>
        <w:t>n</w:t>
      </w:r>
      <w:r w:rsidR="0051176C" w:rsidRPr="00522F06">
        <w:rPr>
          <w:noProof/>
          <w:vertAlign w:val="superscript"/>
        </w:rPr>
        <w:t>os</w:t>
      </w:r>
      <w:r w:rsidR="0051176C" w:rsidRPr="00522F06">
        <w:t xml:space="preserve"> 22294/03, 22351/03, 22352/03, 22353/03, 22354/03 et</w:t>
      </w:r>
      <w:r w:rsidR="002E2BD5" w:rsidRPr="00522F06">
        <w:t xml:space="preserve"> </w:t>
      </w:r>
      <w:r w:rsidR="0051176C" w:rsidRPr="00522F06">
        <w:t xml:space="preserve">22355/03) et 29 juin 2006 (pour les autres requêtes), </w:t>
      </w:r>
      <w:r w:rsidR="0051176C" w:rsidRPr="00522F06">
        <w:rPr>
          <w:noProof/>
        </w:rPr>
        <w:t>la Cour</w:t>
      </w:r>
      <w:r w:rsidR="0051176C" w:rsidRPr="00522F06">
        <w:t xml:space="preserve"> a décidé de communiquer les requêtes au Gouvernement.</w:t>
      </w:r>
      <w:r w:rsidR="0051176C" w:rsidRPr="00522F06">
        <w:rPr>
          <w:color w:val="FFFF00"/>
        </w:rPr>
        <w:t xml:space="preserve"> </w:t>
      </w:r>
      <w:r w:rsidR="0051176C" w:rsidRPr="00522F06">
        <w:rPr>
          <w:color w:val="000000"/>
          <w:szCs w:val="24"/>
          <w:lang w:eastAsia="en-GB"/>
        </w:rPr>
        <w:t>En application du Protocole n</w:t>
      </w:r>
      <w:r w:rsidR="002E2BD5" w:rsidRPr="00522F06">
        <w:rPr>
          <w:color w:val="000000"/>
          <w:szCs w:val="24"/>
          <w:vertAlign w:val="superscript"/>
          <w:lang w:eastAsia="en-GB"/>
        </w:rPr>
        <w:t>o</w:t>
      </w:r>
      <w:r w:rsidR="0051176C" w:rsidRPr="00522F06">
        <w:rPr>
          <w:color w:val="000000"/>
          <w:szCs w:val="24"/>
          <w:lang w:eastAsia="en-GB"/>
        </w:rPr>
        <w:t xml:space="preserve"> 14, les requêtes ont été attribuées à un Comité.</w:t>
      </w:r>
      <w:bookmarkEnd w:id="8"/>
      <w:bookmarkEnd w:id="9"/>
    </w:p>
    <w:p w:rsidR="0051176C" w:rsidRPr="00522F06" w:rsidRDefault="0051176C" w:rsidP="0051176C">
      <w:pPr>
        <w:pStyle w:val="ECHRTitle1"/>
      </w:pPr>
      <w:r w:rsidRPr="00522F06">
        <w:t>EN FAIT</w:t>
      </w:r>
    </w:p>
    <w:p w:rsidR="0051176C" w:rsidRPr="00522F06" w:rsidRDefault="0051176C" w:rsidP="0051176C">
      <w:pPr>
        <w:pStyle w:val="ECHRHeading1"/>
      </w:pPr>
      <w:r w:rsidRPr="00522F06">
        <w:t>I.  LES CIRCONSTANCES DE L</w:t>
      </w:r>
      <w:r w:rsidR="00522F06">
        <w:t>’</w:t>
      </w:r>
      <w:r w:rsidRPr="00522F06">
        <w:t>ESPÈCE</w:t>
      </w:r>
    </w:p>
    <w:p w:rsidR="002E2BD5" w:rsidRPr="00522F06" w:rsidRDefault="0051176C" w:rsidP="0051176C">
      <w:pPr>
        <w:autoSpaceDE w:val="0"/>
        <w:autoSpaceDN w:val="0"/>
        <w:adjustRightInd w:val="0"/>
        <w:ind w:firstLine="284"/>
        <w:rPr>
          <w:color w:val="000000"/>
          <w:lang w:val="fr-FR"/>
        </w:rPr>
      </w:pPr>
      <w:r w:rsidRPr="00522F06">
        <w:rPr>
          <w:color w:val="000000"/>
        </w:rPr>
        <w:fldChar w:fldCharType="begin"/>
      </w:r>
      <w:r w:rsidRPr="00522F06">
        <w:rPr>
          <w:color w:val="000000"/>
          <w:lang w:val="fr-FR"/>
        </w:rPr>
        <w:instrText xml:space="preserve"> SEQ level0 \*arabic </w:instrText>
      </w:r>
      <w:r w:rsidRPr="00522F06">
        <w:rPr>
          <w:color w:val="000000"/>
        </w:rPr>
        <w:fldChar w:fldCharType="separate"/>
      </w:r>
      <w:r w:rsidR="00B140C4">
        <w:rPr>
          <w:noProof/>
          <w:color w:val="000000"/>
          <w:lang w:val="fr-FR"/>
        </w:rPr>
        <w:t>4</w:t>
      </w:r>
      <w:r w:rsidRPr="00522F06">
        <w:rPr>
          <w:color w:val="000000"/>
        </w:rPr>
        <w:fldChar w:fldCharType="end"/>
      </w:r>
      <w:r w:rsidRPr="00522F06">
        <w:rPr>
          <w:color w:val="000000"/>
          <w:lang w:val="fr-FR"/>
        </w:rPr>
        <w:t>.  </w:t>
      </w:r>
      <w:r w:rsidRPr="00522F06">
        <w:rPr>
          <w:rStyle w:val="JuParaCar"/>
          <w:lang w:val="fr-FR"/>
        </w:rPr>
        <w:t>Les requérants, parties à des procédures judiciaires, ont saisi les juridictions compétentes au sens de la loi « Pinto » afin de se plaindre de la durée de ces procédures.</w:t>
      </w:r>
    </w:p>
    <w:p w:rsidR="0051176C" w:rsidRPr="00522F06" w:rsidRDefault="0051176C" w:rsidP="0051176C">
      <w:pPr>
        <w:pStyle w:val="ECHRPara"/>
        <w:rPr>
          <w:color w:val="000000"/>
        </w:rPr>
      </w:pPr>
      <w:r w:rsidRPr="00522F06">
        <w:rPr>
          <w:color w:val="000000"/>
        </w:rPr>
        <w:fldChar w:fldCharType="begin"/>
      </w:r>
      <w:r w:rsidRPr="00522F06">
        <w:rPr>
          <w:color w:val="000000"/>
        </w:rPr>
        <w:instrText xml:space="preserve"> SEQ level0 \*arabic </w:instrText>
      </w:r>
      <w:r w:rsidRPr="00522F06">
        <w:rPr>
          <w:color w:val="000000"/>
        </w:rPr>
        <w:fldChar w:fldCharType="separate"/>
      </w:r>
      <w:r w:rsidR="00B140C4">
        <w:rPr>
          <w:noProof/>
          <w:color w:val="000000"/>
        </w:rPr>
        <w:t>5</w:t>
      </w:r>
      <w:r w:rsidRPr="00522F06">
        <w:rPr>
          <w:color w:val="000000"/>
        </w:rPr>
        <w:fldChar w:fldCharType="end"/>
      </w:r>
      <w:r w:rsidRPr="00522F06">
        <w:rPr>
          <w:color w:val="000000"/>
        </w:rPr>
        <w:t>.  Les faits essentiels des requêtes ressortent des informations contenues dans le tableau en annexe au présent arrêt.</w:t>
      </w:r>
    </w:p>
    <w:p w:rsidR="0051176C" w:rsidRPr="00522F06" w:rsidRDefault="0051176C" w:rsidP="0051176C">
      <w:pPr>
        <w:pStyle w:val="ECHRPara"/>
        <w:rPr>
          <w:color w:val="000000"/>
        </w:rPr>
      </w:pPr>
    </w:p>
    <w:p w:rsidR="0051176C" w:rsidRPr="00522F06" w:rsidRDefault="0051176C" w:rsidP="0051176C">
      <w:pPr>
        <w:pStyle w:val="ECHRHeading1"/>
      </w:pPr>
      <w:r w:rsidRPr="00522F06">
        <w:t>II.  LE DROIT ET LA PRATIQUE INTERNES PERTINENTS</w:t>
      </w:r>
    </w:p>
    <w:p w:rsidR="0051176C" w:rsidRPr="00522F06" w:rsidRDefault="00B140C4" w:rsidP="0051176C">
      <w:pPr>
        <w:pStyle w:val="ECHRPara"/>
        <w:rPr>
          <w:szCs w:val="24"/>
          <w:lang w:eastAsia="en-US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 w:rsidR="0051176C" w:rsidRPr="00522F06">
        <w:t>.  Le droit et la pratique internes pertinents figurent dans l</w:t>
      </w:r>
      <w:r w:rsidR="00522F06">
        <w:t>’</w:t>
      </w:r>
      <w:r w:rsidR="0051176C" w:rsidRPr="00522F06">
        <w:t xml:space="preserve">arrêt </w:t>
      </w:r>
      <w:r w:rsidR="0051176C" w:rsidRPr="00522F06">
        <w:rPr>
          <w:i/>
          <w:szCs w:val="24"/>
          <w:lang w:eastAsia="en-US"/>
        </w:rPr>
        <w:t xml:space="preserve">Cocchiarella c. </w:t>
      </w:r>
      <w:r w:rsidR="0051176C" w:rsidRPr="00522F06">
        <w:rPr>
          <w:i/>
          <w:spacing w:val="-2"/>
          <w:szCs w:val="24"/>
          <w:lang w:eastAsia="en-US"/>
        </w:rPr>
        <w:t>Italie</w:t>
      </w:r>
      <w:r w:rsidR="0051176C" w:rsidRPr="00522F06">
        <w:rPr>
          <w:szCs w:val="24"/>
          <w:lang w:eastAsia="en-US"/>
        </w:rPr>
        <w:t xml:space="preserve"> ([GC], n</w:t>
      </w:r>
      <w:r w:rsidR="0051176C" w:rsidRPr="00522F06">
        <w:rPr>
          <w:szCs w:val="24"/>
          <w:vertAlign w:val="superscript"/>
          <w:lang w:eastAsia="en-US"/>
        </w:rPr>
        <w:t>o</w:t>
      </w:r>
      <w:r w:rsidR="0051176C" w:rsidRPr="00522F06">
        <w:rPr>
          <w:szCs w:val="24"/>
          <w:lang w:eastAsia="en-US"/>
        </w:rPr>
        <w:t xml:space="preserve"> 64886/01, §§ 23-31, CEDH 2006</w:t>
      </w:r>
      <w:r w:rsidR="0051176C" w:rsidRPr="00522F06">
        <w:rPr>
          <w:szCs w:val="24"/>
          <w:lang w:eastAsia="en-US"/>
        </w:rPr>
        <w:noBreakHyphen/>
        <w:t>V)</w:t>
      </w:r>
      <w:r w:rsidR="0051176C" w:rsidRPr="00522F06">
        <w:rPr>
          <w:lang w:eastAsia="en-US"/>
        </w:rPr>
        <w:t>.</w:t>
      </w:r>
    </w:p>
    <w:p w:rsidR="0051176C" w:rsidRPr="00522F06" w:rsidRDefault="0051176C" w:rsidP="0051176C">
      <w:pPr>
        <w:pStyle w:val="ECHRTitle1"/>
      </w:pPr>
      <w:r w:rsidRPr="00522F06">
        <w:t>EN DROIT</w:t>
      </w:r>
    </w:p>
    <w:p w:rsidR="0051176C" w:rsidRPr="00522F06" w:rsidRDefault="0051176C" w:rsidP="0051176C">
      <w:pPr>
        <w:pStyle w:val="ju-005fh-005fi-005froman"/>
        <w:rPr>
          <w:lang w:val="fr-FR"/>
        </w:rPr>
      </w:pPr>
      <w:r w:rsidRPr="00522F06">
        <w:rPr>
          <w:lang w:val="fr-FR"/>
        </w:rPr>
        <w:t>I.  </w:t>
      </w:r>
      <w:r w:rsidRPr="00522F06">
        <w:rPr>
          <w:rStyle w:val="JuHIRomanChar1"/>
          <w:lang w:val="fr-FR"/>
        </w:rPr>
        <w:t>SUR LA JONCTION DES REQUÊTES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 w:rsidR="0051176C" w:rsidRPr="00522F06">
        <w:t>.  Compte tenu de la similitude des requêtes quant aux faits et au problème de fond qu</w:t>
      </w:r>
      <w:r w:rsidR="00522F06">
        <w:t>’</w:t>
      </w:r>
      <w:r w:rsidR="0051176C" w:rsidRPr="00522F06">
        <w:t>elles posent, la Cour estime nécessaire de les joindre et décide de les examiner conjointement dans un seul arrêt.</w:t>
      </w:r>
    </w:p>
    <w:p w:rsidR="0051176C" w:rsidRPr="00522F06" w:rsidRDefault="0051176C" w:rsidP="0051176C">
      <w:pPr>
        <w:pStyle w:val="ECHRHeading1"/>
        <w:tabs>
          <w:tab w:val="clear" w:pos="357"/>
          <w:tab w:val="left" w:pos="284"/>
        </w:tabs>
        <w:ind w:left="284" w:hanging="284"/>
      </w:pPr>
      <w:r w:rsidRPr="00522F06">
        <w:t>II  SUR LES VIOLATIONS ALLÉGUÉES DES ARTICLES 6 § 1 ET 1 DU PROTOCOLE N</w:t>
      </w:r>
      <w:r w:rsidR="002E2BD5" w:rsidRPr="00522F06">
        <w:rPr>
          <w:vertAlign w:val="superscript"/>
        </w:rPr>
        <w:t>o</w:t>
      </w:r>
      <w:r w:rsidRPr="00522F06">
        <w:t xml:space="preserve"> 1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 w:rsidR="0051176C" w:rsidRPr="00522F06">
        <w:t>.  Invoquant l</w:t>
      </w:r>
      <w:r w:rsidR="00522F06">
        <w:t>’</w:t>
      </w:r>
      <w:r w:rsidR="0051176C" w:rsidRPr="00522F06">
        <w:t>article 6 § 1 de la Convention, les requérants se plaignent de la durée des procédures principales et de l</w:t>
      </w:r>
      <w:r w:rsidR="00522F06">
        <w:t>’</w:t>
      </w:r>
      <w:r w:rsidR="0051176C" w:rsidRPr="00522F06">
        <w:t>insuffisance du redressement obtenu dans le cadre du remède « Pinto ». Sans invoquer aucune disposition, ils se plaignent également du retard dans l</w:t>
      </w:r>
      <w:r w:rsidR="00522F06">
        <w:t>’</w:t>
      </w:r>
      <w:r w:rsidR="0051176C" w:rsidRPr="00522F06">
        <w:t>exécution des décisions « Pinto ».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 w:rsidR="0051176C" w:rsidRPr="00522F06">
        <w:t>.  Le Gouvernement s</w:t>
      </w:r>
      <w:r w:rsidR="00522F06">
        <w:t>’</w:t>
      </w:r>
      <w:r w:rsidR="0051176C" w:rsidRPr="00522F06">
        <w:t>oppose à cette thèse.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 w:rsidR="0051176C" w:rsidRPr="00522F06">
        <w:t>.  La Cour estime qu</w:t>
      </w:r>
      <w:r w:rsidR="00522F06">
        <w:t>’</w:t>
      </w:r>
      <w:r w:rsidR="0051176C" w:rsidRPr="00522F06">
        <w:t xml:space="preserve">il </w:t>
      </w:r>
      <w:r w:rsidR="0051176C" w:rsidRPr="00522F06">
        <w:rPr>
          <w:bCs/>
        </w:rPr>
        <w:t>convient</w:t>
      </w:r>
      <w:r w:rsidR="0051176C" w:rsidRPr="00522F06">
        <w:t xml:space="preserve"> d</w:t>
      </w:r>
      <w:r w:rsidR="00522F06">
        <w:t>’</w:t>
      </w:r>
      <w:r w:rsidR="0051176C" w:rsidRPr="00522F06">
        <w:t>analyser les griefs des requérants sous l</w:t>
      </w:r>
      <w:r w:rsidR="00522F06">
        <w:t>’</w:t>
      </w:r>
      <w:r w:rsidR="0051176C" w:rsidRPr="00522F06">
        <w:t>angle des articles 6 § 1 de la Convention et 1 du Protocole n</w:t>
      </w:r>
      <w:r w:rsidR="0051176C" w:rsidRPr="00522F06">
        <w:rPr>
          <w:vertAlign w:val="superscript"/>
        </w:rPr>
        <w:t>o</w:t>
      </w:r>
      <w:r w:rsidR="0051176C" w:rsidRPr="00522F06">
        <w:t> 1 qui sont ainsi libellés dans leurs parties pertinentes :</w:t>
      </w:r>
    </w:p>
    <w:p w:rsidR="0051176C" w:rsidRPr="00522F06" w:rsidRDefault="0051176C" w:rsidP="0051176C">
      <w:pPr>
        <w:pStyle w:val="ECHRParaQuote"/>
        <w:jc w:val="center"/>
        <w:rPr>
          <w:b/>
        </w:rPr>
      </w:pPr>
      <w:r w:rsidRPr="00522F06">
        <w:rPr>
          <w:b/>
        </w:rPr>
        <w:t>Article 6 § 1</w:t>
      </w:r>
    </w:p>
    <w:p w:rsidR="0051176C" w:rsidRPr="00522F06" w:rsidRDefault="0051176C" w:rsidP="0051176C">
      <w:pPr>
        <w:pStyle w:val="ECHRParaQuote"/>
      </w:pPr>
      <w:r w:rsidRPr="00522F06">
        <w:rPr>
          <w:rStyle w:val="JuQuotChar"/>
        </w:rPr>
        <w:t>« </w:t>
      </w:r>
      <w:r w:rsidRPr="00522F06">
        <w:t>Toute personne a droit à ce que sa cause soit entendue (...) dans un délai raisonnable, par un tribunal (...), qui décidera (...) des contestations sur ses droits et obligations de caractère civil (...) ».</w:t>
      </w:r>
    </w:p>
    <w:p w:rsidR="0051176C" w:rsidRPr="00522F06" w:rsidRDefault="0051176C" w:rsidP="0051176C">
      <w:pPr>
        <w:pStyle w:val="ECHRParaQuote"/>
        <w:jc w:val="center"/>
        <w:rPr>
          <w:b/>
        </w:rPr>
      </w:pPr>
      <w:r w:rsidRPr="00522F06">
        <w:rPr>
          <w:b/>
        </w:rPr>
        <w:t>Article 1 du Protocole n</w:t>
      </w:r>
      <w:r w:rsidRPr="00522F06">
        <w:rPr>
          <w:b/>
          <w:vertAlign w:val="superscript"/>
        </w:rPr>
        <w:t>o</w:t>
      </w:r>
      <w:r w:rsidRPr="00522F06">
        <w:rPr>
          <w:b/>
        </w:rPr>
        <w:t xml:space="preserve"> 1</w:t>
      </w:r>
    </w:p>
    <w:p w:rsidR="0051176C" w:rsidRPr="00522F06" w:rsidRDefault="0051176C" w:rsidP="0051176C">
      <w:pPr>
        <w:pStyle w:val="ECHRParaQuote"/>
      </w:pPr>
      <w:r w:rsidRPr="00522F06">
        <w:t>« Toute personne physique ou morale a droit au respect de ses biens. Nul ne peut être privé de sa propriété que pour cause d</w:t>
      </w:r>
      <w:r w:rsidR="00522F06">
        <w:t>’</w:t>
      </w:r>
      <w:r w:rsidRPr="00522F06">
        <w:t>utilité publique et dans les conditions prévues par la loi et les principes généraux du droit international.</w:t>
      </w:r>
    </w:p>
    <w:p w:rsidR="0051176C" w:rsidRPr="00522F06" w:rsidRDefault="0051176C" w:rsidP="0051176C">
      <w:pPr>
        <w:pStyle w:val="ECHRParaQuote"/>
      </w:pPr>
      <w:r w:rsidRPr="00522F06">
        <w:t>Les dispositions précédentes ne portent pas atteinte au droit que possèdent les États de mettre en vigueur les lois qu</w:t>
      </w:r>
      <w:r w:rsidR="00522F06">
        <w:t>’</w:t>
      </w:r>
      <w:r w:rsidRPr="00522F06">
        <w:t>ils jugent nécessaires pour réglementer l</w:t>
      </w:r>
      <w:r w:rsidR="00522F06">
        <w:t>’</w:t>
      </w:r>
      <w:r w:rsidRPr="00522F06">
        <w:t>usage des biens conformément à l</w:t>
      </w:r>
      <w:r w:rsidR="00522F06">
        <w:t>’</w:t>
      </w:r>
      <w:r w:rsidRPr="00522F06">
        <w:t>intérêt général (...) ».</w:t>
      </w:r>
    </w:p>
    <w:p w:rsidR="0051176C" w:rsidRPr="00522F06" w:rsidRDefault="0051176C" w:rsidP="0051176C">
      <w:pPr>
        <w:pStyle w:val="ECHRHeading2"/>
      </w:pPr>
      <w:r w:rsidRPr="00522F06">
        <w:t>A.  Sur la recevabilité</w:t>
      </w:r>
    </w:p>
    <w:p w:rsidR="0051176C" w:rsidRPr="00522F06" w:rsidRDefault="0051176C" w:rsidP="0051176C">
      <w:pPr>
        <w:pStyle w:val="ECHRHeading3"/>
      </w:pPr>
      <w:r w:rsidRPr="00522F06">
        <w:t>1.  Non-épuisement des voies de recours internes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 w:rsidR="0051176C" w:rsidRPr="00522F06">
        <w:t>.  Le Gouvernement excipe du non-épuisement des voies de recours internes en ce que les requérants n</w:t>
      </w:r>
      <w:r w:rsidR="00522F06">
        <w:t>’</w:t>
      </w:r>
      <w:r w:rsidR="0051176C" w:rsidRPr="00522F06">
        <w:t>ont pas saisi la Cour de cassation en vertu de la loi « Pinto ».</w:t>
      </w:r>
    </w:p>
    <w:p w:rsidR="0051176C" w:rsidRPr="00522F06" w:rsidRDefault="00B140C4" w:rsidP="0051176C">
      <w:pPr>
        <w:pStyle w:val="ECHRPara"/>
        <w:rPr>
          <w:lang w:val="it-IT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  <w:r w:rsidR="0051176C" w:rsidRPr="00522F06">
        <w:t>.  Dans l</w:t>
      </w:r>
      <w:r w:rsidR="00522F06">
        <w:t>’</w:t>
      </w:r>
      <w:r w:rsidR="0051176C" w:rsidRPr="00522F06">
        <w:t>affaire</w:t>
      </w:r>
      <w:r w:rsidR="0051176C" w:rsidRPr="00522F06">
        <w:rPr>
          <w:i/>
          <w:lang w:val="it-IT"/>
        </w:rPr>
        <w:t xml:space="preserve"> Scordino c. Italie </w:t>
      </w:r>
      <w:r w:rsidR="0051176C" w:rsidRPr="00522F06">
        <w:rPr>
          <w:lang w:val="it-IT"/>
        </w:rPr>
        <w:t>((déc.), n</w:t>
      </w:r>
      <w:r w:rsidR="0051176C" w:rsidRPr="00522F06">
        <w:rPr>
          <w:vertAlign w:val="superscript"/>
          <w:lang w:val="it-IT"/>
        </w:rPr>
        <w:t>o</w:t>
      </w:r>
      <w:r w:rsidR="0051176C" w:rsidRPr="00522F06">
        <w:rPr>
          <w:lang w:val="it-IT"/>
        </w:rPr>
        <w:t xml:space="preserve"> 36813/97, CEDH 2003</w:t>
      </w:r>
      <w:r w:rsidR="0051176C" w:rsidRPr="00522F06">
        <w:rPr>
          <w:lang w:val="it-IT"/>
        </w:rPr>
        <w:noBreakHyphen/>
        <w:t>IV)</w:t>
      </w:r>
      <w:r w:rsidR="0051176C" w:rsidRPr="00522F06">
        <w:t>, la Cour avait estimé, d</w:t>
      </w:r>
      <w:r w:rsidR="00522F06">
        <w:t>’</w:t>
      </w:r>
      <w:r w:rsidR="0051176C" w:rsidRPr="00522F06">
        <w:t>une part, que lorsqu</w:t>
      </w:r>
      <w:r w:rsidR="00522F06">
        <w:t>’</w:t>
      </w:r>
      <w:r w:rsidR="0051176C" w:rsidRPr="00522F06">
        <w:t>un requérant se plaint uniquement du montant de l</w:t>
      </w:r>
      <w:r w:rsidR="00522F06">
        <w:t>’</w:t>
      </w:r>
      <w:r w:rsidR="0051176C" w:rsidRPr="00522F06">
        <w:t>indemnisation, il n</w:t>
      </w:r>
      <w:r w:rsidR="00522F06">
        <w:t>’</w:t>
      </w:r>
      <w:r w:rsidR="0051176C" w:rsidRPr="00522F06">
        <w:t>est pas tenu aux fins de l</w:t>
      </w:r>
      <w:r w:rsidR="00522F06">
        <w:t>’</w:t>
      </w:r>
      <w:r w:rsidR="0051176C" w:rsidRPr="00522F06">
        <w:t>épuisement des voies de recours interne de se pourvoir en cassation contre la décision de la cour d</w:t>
      </w:r>
      <w:r w:rsidR="00522F06">
        <w:t>’</w:t>
      </w:r>
      <w:r w:rsidR="0051176C" w:rsidRPr="00522F06">
        <w:t>appel et, d</w:t>
      </w:r>
      <w:r w:rsidR="00522F06">
        <w:t>’</w:t>
      </w:r>
      <w:r w:rsidR="0051176C" w:rsidRPr="00522F06">
        <w:t>autre part, que le requérant peut continuer à se prétendre « victime » au sens de l</w:t>
      </w:r>
      <w:r w:rsidR="00522F06">
        <w:t>’</w:t>
      </w:r>
      <w:r w:rsidR="0051176C" w:rsidRPr="00522F06">
        <w:t>article 34 de la Convention, dans la mesure où – même si la cour d</w:t>
      </w:r>
      <w:r w:rsidR="00522F06">
        <w:t>’</w:t>
      </w:r>
      <w:r w:rsidR="0051176C" w:rsidRPr="00522F06">
        <w:t>appel a reconnu l</w:t>
      </w:r>
      <w:r w:rsidR="00522F06">
        <w:t>’</w:t>
      </w:r>
      <w:r w:rsidR="0051176C" w:rsidRPr="00522F06">
        <w:t>existence de la durée excessive de la procédure –, la somme accordée ne saurait être considérée comme adéquate pour réparer le préjudice et la violation allégués.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  <w:r w:rsidR="0051176C" w:rsidRPr="00522F06">
        <w:t>.  Pour arriver à cette conclusion, la Cour s</w:t>
      </w:r>
      <w:r w:rsidR="00522F06">
        <w:t>’</w:t>
      </w:r>
      <w:r w:rsidR="0051176C" w:rsidRPr="00522F06">
        <w:t>était basée sur l</w:t>
      </w:r>
      <w:r w:rsidR="00522F06">
        <w:t>’</w:t>
      </w:r>
      <w:r w:rsidR="0051176C" w:rsidRPr="00522F06">
        <w:t>examen d</w:t>
      </w:r>
      <w:r w:rsidR="00522F06">
        <w:t>’</w:t>
      </w:r>
      <w:r w:rsidR="0051176C" w:rsidRPr="00522F06">
        <w:t>une centaine d</w:t>
      </w:r>
      <w:r w:rsidR="00522F06">
        <w:t>’</w:t>
      </w:r>
      <w:r w:rsidR="0051176C" w:rsidRPr="00522F06">
        <w:t>arrêts de la Cour de cassation et n</w:t>
      </w:r>
      <w:r w:rsidR="00522F06">
        <w:t>’</w:t>
      </w:r>
      <w:r w:rsidR="0051176C" w:rsidRPr="00522F06">
        <w:t>avait trouvé aucun cas où celle-ci avait pris en considération un grief tiré de l</w:t>
      </w:r>
      <w:r w:rsidR="00522F06">
        <w:t>’</w:t>
      </w:r>
      <w:r w:rsidR="0051176C" w:rsidRPr="00522F06">
        <w:t>insuffisance et/ou de l</w:t>
      </w:r>
      <w:r w:rsidR="00522F06">
        <w:t>’</w:t>
      </w:r>
      <w:r w:rsidR="0051176C" w:rsidRPr="00522F06">
        <w:t>inadéquation d</w:t>
      </w:r>
      <w:r w:rsidR="00522F06">
        <w:t>’</w:t>
      </w:r>
      <w:r w:rsidR="0051176C" w:rsidRPr="00522F06">
        <w:t>un montant accordé par la cour d</w:t>
      </w:r>
      <w:r w:rsidR="00522F06">
        <w:t>’</w:t>
      </w:r>
      <w:r w:rsidR="0051176C" w:rsidRPr="00522F06">
        <w:t>appel par rapport au préjudice allégué ou à la jurisprudence de Strasbourg.</w:t>
      </w:r>
    </w:p>
    <w:p w:rsidR="002E2BD5" w:rsidRPr="00522F06" w:rsidRDefault="0051176C" w:rsidP="0051176C">
      <w:pPr>
        <w:pStyle w:val="ECHRPara"/>
        <w:rPr>
          <w:szCs w:val="24"/>
        </w:rPr>
      </w:pPr>
      <w:r w:rsidRPr="00522F06">
        <w:rPr>
          <w:color w:val="000000"/>
          <w:szCs w:val="24"/>
        </w:rPr>
        <w:fldChar w:fldCharType="begin"/>
      </w:r>
      <w:r w:rsidRPr="00522F06">
        <w:rPr>
          <w:color w:val="000000"/>
          <w:szCs w:val="24"/>
        </w:rPr>
        <w:instrText xml:space="preserve"> SEQ level0 \*arabic </w:instrText>
      </w:r>
      <w:r w:rsidRPr="00522F06">
        <w:rPr>
          <w:color w:val="000000"/>
          <w:szCs w:val="24"/>
        </w:rPr>
        <w:fldChar w:fldCharType="separate"/>
      </w:r>
      <w:r w:rsidR="00B140C4">
        <w:rPr>
          <w:noProof/>
          <w:color w:val="000000"/>
          <w:szCs w:val="24"/>
        </w:rPr>
        <w:t>14</w:t>
      </w:r>
      <w:r w:rsidRPr="00522F06">
        <w:rPr>
          <w:color w:val="000000"/>
          <w:szCs w:val="24"/>
        </w:rPr>
        <w:fldChar w:fldCharType="end"/>
      </w:r>
      <w:r w:rsidRPr="00522F06">
        <w:rPr>
          <w:color w:val="000000"/>
          <w:szCs w:val="24"/>
        </w:rPr>
        <w:t>.  La Cour rappelle aussi qu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en janvier 2004, la Cour de cassation, par les arrêts n</w:t>
      </w:r>
      <w:r w:rsidR="002E2BD5" w:rsidRPr="00522F06">
        <w:rPr>
          <w:color w:val="000000"/>
          <w:szCs w:val="24"/>
          <w:vertAlign w:val="superscript"/>
        </w:rPr>
        <w:t>o</w:t>
      </w:r>
      <w:r w:rsidRPr="00522F06">
        <w:rPr>
          <w:color w:val="000000"/>
          <w:szCs w:val="24"/>
          <w:vertAlign w:val="superscript"/>
        </w:rPr>
        <w:t>s</w:t>
      </w:r>
      <w:r w:rsidRPr="00522F06">
        <w:rPr>
          <w:color w:val="000000"/>
          <w:szCs w:val="24"/>
        </w:rPr>
        <w:t> 1338, 1339, 1340 et 1341, a posé le principe, selon lequel, « la</w:t>
      </w:r>
      <w:r w:rsidR="0068692C" w:rsidRPr="00522F06">
        <w:rPr>
          <w:color w:val="000000"/>
          <w:szCs w:val="24"/>
        </w:rPr>
        <w:t> </w:t>
      </w:r>
      <w:r w:rsidRPr="00522F06">
        <w:rPr>
          <w:color w:val="000000"/>
          <w:szCs w:val="24"/>
        </w:rPr>
        <w:t>détermination du dommage extrapatrimonial effectuée par la cour d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appel conformément à l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article 2 de la loi nº 89/2001, bien que par nature fondée sur l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équité, doit intervenir dans un environnement qui est défini par le droit puisqu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il faut se référer aux montants alloués dans des affaires similaires par la Cour de Strasbourg, dont il est permis de s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 xml:space="preserve">éloigner mais de façon raisonnable » (voir </w:t>
      </w:r>
      <w:r w:rsidRPr="00522F06">
        <w:rPr>
          <w:i/>
          <w:color w:val="000000"/>
          <w:szCs w:val="24"/>
        </w:rPr>
        <w:t>Cocchiarella</w:t>
      </w:r>
      <w:r w:rsidRPr="00522F06">
        <w:rPr>
          <w:color w:val="000000"/>
          <w:szCs w:val="24"/>
        </w:rPr>
        <w:t>, précité, §§ 24-25). A la suite de ce revirement, la Cour a considéré qu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à partir du 26 juillet 2004, date à laquelle ces arrêts, et notamment l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arrêt n</w:t>
      </w:r>
      <w:r w:rsidR="002E2BD5" w:rsidRPr="00522F06">
        <w:rPr>
          <w:color w:val="000000"/>
          <w:vertAlign w:val="superscript"/>
        </w:rPr>
        <w:t>o</w:t>
      </w:r>
      <w:r w:rsidRPr="00522F06">
        <w:rPr>
          <w:color w:val="000000"/>
          <w:szCs w:val="24"/>
        </w:rPr>
        <w:t> 1340 de la Cour de cassation, ne pouvaient plus être ignorés du public, il devait être exigé des requérants qu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ils usent du recours en cassation au sens de la loi « Pinto » aux fins de l</w:t>
      </w:r>
      <w:r w:rsidR="00522F06">
        <w:rPr>
          <w:color w:val="000000"/>
          <w:szCs w:val="24"/>
        </w:rPr>
        <w:t>’</w:t>
      </w:r>
      <w:r w:rsidRPr="00522F06">
        <w:rPr>
          <w:color w:val="000000"/>
          <w:szCs w:val="24"/>
        </w:rPr>
        <w:t>article 35 § 1 de la Convention (</w:t>
      </w:r>
      <w:r w:rsidRPr="00522F06">
        <w:rPr>
          <w:i/>
          <w:color w:val="000000"/>
          <w:szCs w:val="24"/>
        </w:rPr>
        <w:t>Di Sante c. Italie</w:t>
      </w:r>
      <w:r w:rsidRPr="00522F06">
        <w:rPr>
          <w:color w:val="000000"/>
          <w:szCs w:val="24"/>
        </w:rPr>
        <w:t xml:space="preserve"> (déc.),</w:t>
      </w:r>
      <w:r w:rsidRPr="00522F06">
        <w:rPr>
          <w:color w:val="000000"/>
        </w:rPr>
        <w:t xml:space="preserve"> </w:t>
      </w:r>
      <w:r w:rsidRPr="00522F06">
        <w:rPr>
          <w:rStyle w:val="sb8d990e2"/>
        </w:rPr>
        <w:t>n</w:t>
      </w:r>
      <w:r w:rsidR="002E2BD5" w:rsidRPr="00522F06">
        <w:rPr>
          <w:rStyle w:val="sea881cdfhasverticalalignsuper"/>
          <w:vertAlign w:val="superscript"/>
        </w:rPr>
        <w:t>o</w:t>
      </w:r>
      <w:r w:rsidRPr="00522F06">
        <w:rPr>
          <w:rStyle w:val="sb8d990e2"/>
        </w:rPr>
        <w:t xml:space="preserve"> </w:t>
      </w:r>
      <w:r w:rsidRPr="00522F06">
        <w:rPr>
          <w:rStyle w:val="wordhighlightedcurrentterm"/>
        </w:rPr>
        <w:t>56079/00</w:t>
      </w:r>
      <w:r w:rsidRPr="00522F06">
        <w:rPr>
          <w:rStyle w:val="sb8d990e2"/>
        </w:rPr>
        <w:t>, 24</w:t>
      </w:r>
      <w:r w:rsidR="0068692C" w:rsidRPr="00522F06">
        <w:rPr>
          <w:rStyle w:val="sb8d990e2"/>
        </w:rPr>
        <w:t> </w:t>
      </w:r>
      <w:r w:rsidRPr="00522F06">
        <w:rPr>
          <w:rStyle w:val="sb8d990e2"/>
        </w:rPr>
        <w:t>juin 2004</w:t>
      </w:r>
      <w:r w:rsidRPr="00522F06">
        <w:rPr>
          <w:color w:val="000000"/>
          <w:szCs w:val="24"/>
        </w:rPr>
        <w:t xml:space="preserve"> ; </w:t>
      </w:r>
      <w:r w:rsidRPr="00522F06">
        <w:rPr>
          <w:i/>
          <w:color w:val="000000"/>
          <w:szCs w:val="24"/>
        </w:rPr>
        <w:t>Cocchiarella</w:t>
      </w:r>
      <w:r w:rsidRPr="00522F06">
        <w:rPr>
          <w:color w:val="000000"/>
          <w:szCs w:val="24"/>
        </w:rPr>
        <w:t>, précité, §§ 42-44).</w:t>
      </w:r>
    </w:p>
    <w:p w:rsidR="0051176C" w:rsidRPr="00522F06" w:rsidRDefault="0051176C" w:rsidP="0051176C">
      <w:pPr>
        <w:pStyle w:val="ECHRPara"/>
      </w:pPr>
      <w:r w:rsidRPr="00522F06">
        <w:rPr>
          <w:szCs w:val="24"/>
        </w:rPr>
        <w:fldChar w:fldCharType="begin"/>
      </w:r>
      <w:r w:rsidRPr="00522F06">
        <w:rPr>
          <w:szCs w:val="24"/>
        </w:rPr>
        <w:instrText xml:space="preserve"> SEQ level0 \*arabic </w:instrText>
      </w:r>
      <w:r w:rsidRPr="00522F06">
        <w:rPr>
          <w:szCs w:val="24"/>
        </w:rPr>
        <w:fldChar w:fldCharType="separate"/>
      </w:r>
      <w:r w:rsidR="00B140C4">
        <w:rPr>
          <w:noProof/>
          <w:szCs w:val="24"/>
        </w:rPr>
        <w:t>15</w:t>
      </w:r>
      <w:r w:rsidRPr="00522F06">
        <w:rPr>
          <w:szCs w:val="24"/>
        </w:rPr>
        <w:fldChar w:fldCharType="end"/>
      </w:r>
      <w:r w:rsidRPr="00522F06">
        <w:rPr>
          <w:szCs w:val="24"/>
        </w:rPr>
        <w:t>.  En l</w:t>
      </w:r>
      <w:r w:rsidR="00522F06">
        <w:rPr>
          <w:szCs w:val="24"/>
        </w:rPr>
        <w:t>’</w:t>
      </w:r>
      <w:r w:rsidRPr="00522F06">
        <w:rPr>
          <w:szCs w:val="24"/>
        </w:rPr>
        <w:t>espèce, la Cour relève que les décisions des cours d</w:t>
      </w:r>
      <w:r w:rsidR="00522F06">
        <w:rPr>
          <w:szCs w:val="24"/>
        </w:rPr>
        <w:t>’</w:t>
      </w:r>
      <w:r w:rsidRPr="00522F06">
        <w:rPr>
          <w:szCs w:val="24"/>
        </w:rPr>
        <w:t xml:space="preserve">appel « Pinto » sont devenues définitives le 17 décembre 2002 (requêtes </w:t>
      </w:r>
      <w:r w:rsidRPr="00522F06">
        <w:t>n</w:t>
      </w:r>
      <w:r w:rsidRPr="00522F06">
        <w:rPr>
          <w:vertAlign w:val="superscript"/>
        </w:rPr>
        <w:t>os </w:t>
      </w:r>
      <w:r w:rsidRPr="00522F06">
        <w:t xml:space="preserve">16412/03, 16413/03, 16414/03, 16415/03, 16416/03, 16417/03 et 22353/03) </w:t>
      </w:r>
      <w:r w:rsidRPr="00522F06">
        <w:rPr>
          <w:szCs w:val="24"/>
        </w:rPr>
        <w:t>ou alors au plus tard le 20 juillet 2003 (requêtes n</w:t>
      </w:r>
      <w:r w:rsidRPr="00522F06">
        <w:rPr>
          <w:vertAlign w:val="superscript"/>
        </w:rPr>
        <w:t>os</w:t>
      </w:r>
      <w:r w:rsidRPr="00522F06">
        <w:rPr>
          <w:szCs w:val="24"/>
        </w:rPr>
        <w:t xml:space="preserve"> </w:t>
      </w:r>
      <w:r w:rsidRPr="00522F06">
        <w:t>22294/03, 22351/03, 22352/03, 22354/03 et</w:t>
      </w:r>
      <w:r w:rsidR="002E2BD5" w:rsidRPr="00522F06">
        <w:t xml:space="preserve"> </w:t>
      </w:r>
      <w:r w:rsidRPr="00522F06">
        <w:t>22355/03), à savoir bien avant le 26</w:t>
      </w:r>
      <w:r w:rsidR="0068692C" w:rsidRPr="00522F06">
        <w:t> </w:t>
      </w:r>
      <w:r w:rsidRPr="00522F06">
        <w:t>juillet</w:t>
      </w:r>
      <w:r w:rsidR="0068692C" w:rsidRPr="00522F06">
        <w:t> </w:t>
      </w:r>
      <w:r w:rsidRPr="00522F06">
        <w:t>2004.</w:t>
      </w:r>
      <w:r w:rsidRPr="00522F06">
        <w:rPr>
          <w:szCs w:val="24"/>
        </w:rPr>
        <w:t xml:space="preserve"> Dans ces circonstances, la Cour estime que les requérants étaient dispensés de l</w:t>
      </w:r>
      <w:r w:rsidR="00522F06">
        <w:rPr>
          <w:szCs w:val="24"/>
        </w:rPr>
        <w:t>’</w:t>
      </w:r>
      <w:r w:rsidRPr="00522F06">
        <w:rPr>
          <w:szCs w:val="24"/>
        </w:rPr>
        <w:t>obligation d</w:t>
      </w:r>
      <w:r w:rsidR="00522F06">
        <w:rPr>
          <w:szCs w:val="24"/>
        </w:rPr>
        <w:t>’</w:t>
      </w:r>
      <w:r w:rsidRPr="00522F06">
        <w:rPr>
          <w:szCs w:val="24"/>
        </w:rPr>
        <w:t>épuiser les voies de recours interne et que l</w:t>
      </w:r>
      <w:r w:rsidR="00522F06">
        <w:rPr>
          <w:szCs w:val="24"/>
        </w:rPr>
        <w:t>’</w:t>
      </w:r>
      <w:r w:rsidRPr="00522F06">
        <w:rPr>
          <w:szCs w:val="24"/>
        </w:rPr>
        <w:t>objection du Gouvernement ne saurait être retenue.</w:t>
      </w:r>
    </w:p>
    <w:p w:rsidR="0051176C" w:rsidRPr="00522F06" w:rsidRDefault="0051176C" w:rsidP="0051176C">
      <w:pPr>
        <w:pStyle w:val="ECHRHeading3"/>
      </w:pPr>
      <w:r w:rsidRPr="00522F06">
        <w:t>2.  Qualité de « victime »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  <w:r w:rsidR="0051176C" w:rsidRPr="00522F06">
        <w:t>.  Le Gouvernement soutient que les requérants ne peuvent plus se prétendre « victimes » de la violation de l</w:t>
      </w:r>
      <w:r w:rsidR="00522F06">
        <w:t>’</w:t>
      </w:r>
      <w:r w:rsidR="0051176C" w:rsidRPr="00522F06">
        <w:t>article 6 § 1 car ils ont obtenu des cours d</w:t>
      </w:r>
      <w:r w:rsidR="00522F06">
        <w:t>’</w:t>
      </w:r>
      <w:r w:rsidR="0051176C" w:rsidRPr="00522F06">
        <w:t>appel « Pinto » un constat de violation et un redressement approprié et suffisant, compte tenu aussi de l</w:t>
      </w:r>
      <w:r w:rsidR="00522F06">
        <w:t>’</w:t>
      </w:r>
      <w:r w:rsidR="0051176C" w:rsidRPr="00522F06">
        <w:t>objet et de l</w:t>
      </w:r>
      <w:r w:rsidR="00522F06">
        <w:t>’</w:t>
      </w:r>
      <w:r w:rsidR="0051176C" w:rsidRPr="00522F06">
        <w:t>enjeu du litige.</w:t>
      </w:r>
    </w:p>
    <w:p w:rsidR="0051176C" w:rsidRPr="00522F06" w:rsidRDefault="00B140C4" w:rsidP="0051176C">
      <w:pPr>
        <w:pStyle w:val="ECHRPara"/>
        <w:rPr>
          <w:szCs w:val="24"/>
          <w:lang w:eastAsia="en-US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 w:rsidR="0051176C" w:rsidRPr="00522F06">
        <w:t>.  La Cour, n</w:t>
      </w:r>
      <w:r w:rsidR="00522F06">
        <w:t>’</w:t>
      </w:r>
      <w:r w:rsidR="0051176C" w:rsidRPr="00522F06">
        <w:t>apercevant aucun motif de déroger à ses précédentes conclusions, après avoir examiné l</w:t>
      </w:r>
      <w:r w:rsidR="00522F06">
        <w:t>’</w:t>
      </w:r>
      <w:r w:rsidR="0051176C" w:rsidRPr="00522F06">
        <w:t xml:space="preserve">ensemble des faits des causes et les arguments des parties, considère que les redressements en question se sont révélés insuffisants (voir </w:t>
      </w:r>
      <w:r w:rsidR="0051176C" w:rsidRPr="00522F06">
        <w:rPr>
          <w:i/>
          <w:lang w:eastAsia="en-US"/>
        </w:rPr>
        <w:t>Delle Cave et Corrado c. Italie</w:t>
      </w:r>
      <w:r w:rsidR="0051176C" w:rsidRPr="00522F06">
        <w:rPr>
          <w:lang w:eastAsia="en-US"/>
        </w:rPr>
        <w:t>, n</w:t>
      </w:r>
      <w:r w:rsidR="0051176C" w:rsidRPr="00522F06">
        <w:rPr>
          <w:vertAlign w:val="superscript"/>
          <w:lang w:eastAsia="en-US"/>
        </w:rPr>
        <w:t>o</w:t>
      </w:r>
      <w:r w:rsidR="0051176C" w:rsidRPr="00522F06">
        <w:rPr>
          <w:lang w:eastAsia="en-US"/>
        </w:rPr>
        <w:t xml:space="preserve"> 14626/03, </w:t>
      </w:r>
      <w:r w:rsidR="0051176C" w:rsidRPr="00522F06">
        <w:t>§§ 26-31</w:t>
      </w:r>
      <w:r w:rsidR="0051176C" w:rsidRPr="00522F06">
        <w:rPr>
          <w:lang w:eastAsia="en-US"/>
        </w:rPr>
        <w:t>, 5 juin 2007, CEDH 2007</w:t>
      </w:r>
      <w:r w:rsidR="0051176C" w:rsidRPr="00522F06">
        <w:rPr>
          <w:lang w:eastAsia="en-US"/>
        </w:rPr>
        <w:noBreakHyphen/>
        <w:t xml:space="preserve">VI ; </w:t>
      </w:r>
      <w:r w:rsidR="0051176C" w:rsidRPr="00522F06">
        <w:rPr>
          <w:i/>
          <w:szCs w:val="24"/>
          <w:lang w:eastAsia="en-US"/>
        </w:rPr>
        <w:t>Cocchiarella</w:t>
      </w:r>
      <w:r w:rsidR="0051176C" w:rsidRPr="00522F06">
        <w:rPr>
          <w:szCs w:val="24"/>
          <w:lang w:eastAsia="en-US"/>
        </w:rPr>
        <w:t>, précité, §§ 69-98</w:t>
      </w:r>
      <w:r w:rsidR="0051176C" w:rsidRPr="00522F06">
        <w:t>).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  <w:r w:rsidR="0051176C" w:rsidRPr="00522F06">
        <w:t>.  Partant, les requérants peuvent toujours se prétendre « victimes », au sens de l</w:t>
      </w:r>
      <w:r w:rsidR="00522F06">
        <w:t>’</w:t>
      </w:r>
      <w:r w:rsidR="0051176C" w:rsidRPr="00522F06">
        <w:t>article 34 de la Convention.</w:t>
      </w:r>
    </w:p>
    <w:p w:rsidR="0051176C" w:rsidRPr="00522F06" w:rsidRDefault="0051176C" w:rsidP="0051176C">
      <w:pPr>
        <w:pStyle w:val="ECHRHeading3"/>
      </w:pPr>
      <w:r w:rsidRPr="00522F06">
        <w:t>3.  Conclusion</w:t>
      </w:r>
    </w:p>
    <w:p w:rsidR="0051176C" w:rsidRPr="00522F06" w:rsidRDefault="0051176C" w:rsidP="0051176C">
      <w:pPr>
        <w:pStyle w:val="ECHRPara"/>
        <w:rPr>
          <w:rStyle w:val="JuParaCar"/>
        </w:rPr>
      </w:pPr>
      <w:r w:rsidRPr="00522F06">
        <w:rPr>
          <w:szCs w:val="24"/>
          <w:lang w:eastAsia="en-US"/>
        </w:rPr>
        <w:fldChar w:fldCharType="begin"/>
      </w:r>
      <w:r w:rsidRPr="00522F06">
        <w:rPr>
          <w:szCs w:val="24"/>
          <w:lang w:eastAsia="en-US"/>
        </w:rPr>
        <w:instrText xml:space="preserve"> SEQ level0 \*arabic </w:instrText>
      </w:r>
      <w:r w:rsidRPr="00522F06">
        <w:rPr>
          <w:szCs w:val="24"/>
          <w:lang w:eastAsia="en-US"/>
        </w:rPr>
        <w:fldChar w:fldCharType="separate"/>
      </w:r>
      <w:r w:rsidR="00B140C4">
        <w:rPr>
          <w:noProof/>
          <w:szCs w:val="24"/>
          <w:lang w:eastAsia="en-US"/>
        </w:rPr>
        <w:t>19</w:t>
      </w:r>
      <w:r w:rsidRPr="00522F06">
        <w:rPr>
          <w:szCs w:val="24"/>
          <w:lang w:eastAsia="en-US"/>
        </w:rPr>
        <w:fldChar w:fldCharType="end"/>
      </w:r>
      <w:r w:rsidRPr="00522F06">
        <w:rPr>
          <w:szCs w:val="24"/>
          <w:lang w:eastAsia="en-US"/>
        </w:rPr>
        <w:t xml:space="preserve">.  La Cour constate que les griefs ne se heurtent à aucun autre des </w:t>
      </w:r>
      <w:r w:rsidRPr="00522F06">
        <w:t>motifs d</w:t>
      </w:r>
      <w:r w:rsidR="00522F06">
        <w:t>’</w:t>
      </w:r>
      <w:r w:rsidRPr="00522F06">
        <w:t>irrecevabilité inscrits à l</w:t>
      </w:r>
      <w:r w:rsidR="00522F06">
        <w:t>’</w:t>
      </w:r>
      <w:r w:rsidRPr="00522F06">
        <w:t>article 35 § 3 de la Convention. Aussi, elle les déclare recevables.</w:t>
      </w:r>
    </w:p>
    <w:p w:rsidR="0051176C" w:rsidRPr="00522F06" w:rsidRDefault="0051176C" w:rsidP="0051176C">
      <w:pPr>
        <w:pStyle w:val="ECHRHeading2"/>
      </w:pPr>
      <w:r w:rsidRPr="00522F06">
        <w:t>B.  Sur le fond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 w:rsidR="0051176C" w:rsidRPr="00522F06">
        <w:t>.</w:t>
      </w:r>
      <w:r w:rsidR="00F27AAD" w:rsidRPr="00522F06">
        <w:rPr>
          <w:szCs w:val="24"/>
          <w:lang w:eastAsia="en-US"/>
        </w:rPr>
        <w:t>  </w:t>
      </w:r>
      <w:r w:rsidR="0051176C" w:rsidRPr="00522F06">
        <w:t>La Cour constate que les procédures litigieuses ont duré, respectivement :</w:t>
      </w:r>
    </w:p>
    <w:p w:rsidR="0051176C" w:rsidRPr="00522F06" w:rsidRDefault="0051176C" w:rsidP="0051176C">
      <w:pPr>
        <w:pStyle w:val="ECHRPara"/>
      </w:pP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</w:t>
      </w:r>
      <w:r w:rsidRPr="00522F06">
        <w:rPr>
          <w:color w:val="000000"/>
          <w:szCs w:val="24"/>
        </w:rPr>
        <w:t xml:space="preserve">16412/03 </w:t>
      </w:r>
      <w:r w:rsidRPr="00522F06">
        <w:rPr>
          <w:szCs w:val="24"/>
        </w:rPr>
        <w:t>: 7 ans et 2 mois pour un degré de juridiction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</w:t>
      </w:r>
      <w:r w:rsidRPr="00522F06">
        <w:rPr>
          <w:color w:val="000000"/>
          <w:szCs w:val="24"/>
        </w:rPr>
        <w:t xml:space="preserve">16413/03 </w:t>
      </w:r>
      <w:r w:rsidRPr="00522F06">
        <w:rPr>
          <w:szCs w:val="24"/>
        </w:rPr>
        <w:t>: 17 ans et 4 mois pour trois degrés de juridiction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</w:t>
      </w:r>
      <w:r w:rsidRPr="00522F06">
        <w:rPr>
          <w:color w:val="000000"/>
          <w:szCs w:val="24"/>
        </w:rPr>
        <w:t xml:space="preserve">16414/03 </w:t>
      </w:r>
      <w:r w:rsidRPr="00522F06">
        <w:rPr>
          <w:szCs w:val="24"/>
        </w:rPr>
        <w:t>: 10 ans et 5 mois pour un degré de juridiction (9 ans et 11 mois à la date du dépôt de la décision « Pinto »)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</w:t>
      </w:r>
      <w:r w:rsidRPr="00522F06">
        <w:rPr>
          <w:color w:val="000000"/>
          <w:szCs w:val="24"/>
        </w:rPr>
        <w:t xml:space="preserve">16415/03 </w:t>
      </w:r>
      <w:r w:rsidRPr="00522F06">
        <w:rPr>
          <w:szCs w:val="24"/>
        </w:rPr>
        <w:t>: 9 ans pour deux degrés de juridiction 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</w:t>
      </w:r>
      <w:r w:rsidRPr="00522F06">
        <w:rPr>
          <w:color w:val="000000"/>
          <w:szCs w:val="24"/>
        </w:rPr>
        <w:t xml:space="preserve">16416/03 </w:t>
      </w:r>
      <w:r w:rsidRPr="00522F06">
        <w:rPr>
          <w:szCs w:val="24"/>
        </w:rPr>
        <w:t>: 11 ans et 7 mois pour un degré de juridiction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</w:t>
      </w:r>
      <w:r w:rsidRPr="00522F06">
        <w:rPr>
          <w:color w:val="000000"/>
          <w:szCs w:val="24"/>
        </w:rPr>
        <w:t xml:space="preserve">16417/03 </w:t>
      </w:r>
      <w:r w:rsidRPr="00522F06">
        <w:rPr>
          <w:szCs w:val="24"/>
        </w:rPr>
        <w:t>: 9 ans et 4 mois pour un degré de juridiction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22294/03 : 18 ans et 10 mois pour un degré de juridiction (18 ans à la date du dépôt de la décision « Pinto »)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22351/03 : 10 ans et 9 mois pour un degré de juridiction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22353/03 : 10 ans et 6 mois pour un degré de juridiction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22354/03 : 20 ans et 10 mois pour un degré de juridiction (19 ans à la date du dépôt de la décision « Pinto ») ;</w:t>
      </w:r>
    </w:p>
    <w:p w:rsidR="0051176C" w:rsidRPr="00522F06" w:rsidRDefault="0051176C" w:rsidP="0051176C">
      <w:pPr>
        <w:pStyle w:val="ECHRPara"/>
        <w:rPr>
          <w:szCs w:val="24"/>
        </w:rPr>
      </w:pPr>
      <w:r w:rsidRPr="00522F06">
        <w:rPr>
          <w:szCs w:val="24"/>
        </w:rPr>
        <w:t>– n</w:t>
      </w:r>
      <w:r w:rsidRPr="00522F06">
        <w:rPr>
          <w:szCs w:val="24"/>
          <w:vertAlign w:val="superscript"/>
        </w:rPr>
        <w:t>o</w:t>
      </w:r>
      <w:r w:rsidRPr="00522F06">
        <w:rPr>
          <w:szCs w:val="24"/>
        </w:rPr>
        <w:t> 22355/03 : 10 ans et 8 mois pour un degré de juridiction (9 ans à la date du dépôt de la décision « Pinto »).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 w:rsidR="0051176C" w:rsidRPr="00522F06">
        <w:t>. La Cour a traité à maintes reprises des requêtes soulevant des questions semblables à celles des cas d</w:t>
      </w:r>
      <w:r w:rsidR="00522F06">
        <w:t>’</w:t>
      </w:r>
      <w:r w:rsidR="0051176C" w:rsidRPr="00522F06">
        <w:t>espèce et a constaté une méconnaissance de l</w:t>
      </w:r>
      <w:r w:rsidR="00522F06">
        <w:t>’</w:t>
      </w:r>
      <w:r w:rsidR="0051176C" w:rsidRPr="00522F06">
        <w:t xml:space="preserve">exigence du « délai raisonnable », compte tenu des critères dégagés par sa jurisprudence bien établie en la matière (voir, en premier lieu, </w:t>
      </w:r>
      <w:r w:rsidR="0051176C" w:rsidRPr="00522F06">
        <w:rPr>
          <w:i/>
        </w:rPr>
        <w:t>Cocchiarella</w:t>
      </w:r>
      <w:r w:rsidR="0051176C" w:rsidRPr="00522F06">
        <w:t>, précité). N</w:t>
      </w:r>
      <w:r w:rsidR="00522F06">
        <w:t>’</w:t>
      </w:r>
      <w:r w:rsidR="0051176C" w:rsidRPr="00522F06">
        <w:t>apercevant rien qui puisse mener à une conclusion différente dans la présente affaire, la Cour estime qu</w:t>
      </w:r>
      <w:r w:rsidR="00522F06">
        <w:t>’</w:t>
      </w:r>
      <w:r w:rsidR="0051176C" w:rsidRPr="00522F06">
        <w:t>il y a également lieu de constater, dans chaque requête, une violation de l</w:t>
      </w:r>
      <w:r w:rsidR="00522F06">
        <w:t>’</w:t>
      </w:r>
      <w:r w:rsidR="0051176C" w:rsidRPr="00522F06">
        <w:t>article 6 § 1 de la Convention, pour les mêmes motifs.</w:t>
      </w:r>
    </w:p>
    <w:p w:rsidR="002E2BD5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  <w:r w:rsidR="0051176C" w:rsidRPr="00522F06">
        <w:t>.  Pour ce qui est du grief portant sur le versement tardif des indemnisations « Pinto », le Gouvernement allègue que ledit retard serait compensé par l</w:t>
      </w:r>
      <w:r w:rsidR="00522F06">
        <w:t>’</w:t>
      </w:r>
      <w:r w:rsidR="0051176C" w:rsidRPr="00522F06">
        <w:t>octroi d</w:t>
      </w:r>
      <w:r w:rsidR="00522F06">
        <w:t>’</w:t>
      </w:r>
      <w:r w:rsidR="0051176C" w:rsidRPr="00522F06">
        <w:t>intérêts moratoires au moment du paiement.</w:t>
      </w:r>
    </w:p>
    <w:p w:rsidR="002E2BD5" w:rsidRPr="00522F06" w:rsidRDefault="00B140C4" w:rsidP="0051176C">
      <w:pPr>
        <w:pStyle w:val="ECHRPara"/>
        <w:rPr>
          <w:lang w:eastAsia="en-GB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r w:rsidR="0051176C" w:rsidRPr="00522F06">
        <w:t>.  L</w:t>
      </w:r>
      <w:r w:rsidR="0051176C" w:rsidRPr="00522F06">
        <w:rPr>
          <w:lang w:eastAsia="en-GB"/>
        </w:rPr>
        <w:t>a Cour rappelle avoir déjà admis qu</w:t>
      </w:r>
      <w:r w:rsidR="00522F06">
        <w:rPr>
          <w:lang w:eastAsia="en-GB"/>
        </w:rPr>
        <w:t>’</w:t>
      </w:r>
      <w:r w:rsidR="0051176C" w:rsidRPr="00522F06">
        <w:rPr>
          <w:lang w:eastAsia="en-GB"/>
        </w:rPr>
        <w:t>une administration puisse avoir besoin d</w:t>
      </w:r>
      <w:r w:rsidR="00522F06">
        <w:rPr>
          <w:lang w:eastAsia="en-GB"/>
        </w:rPr>
        <w:t>’</w:t>
      </w:r>
      <w:r w:rsidR="0051176C" w:rsidRPr="00522F06">
        <w:rPr>
          <w:lang w:eastAsia="en-GB"/>
        </w:rPr>
        <w:t>un certain laps de temps pour procéder à un paiement. Néanmoins, s</w:t>
      </w:r>
      <w:r w:rsidR="00522F06">
        <w:rPr>
          <w:lang w:eastAsia="en-GB"/>
        </w:rPr>
        <w:t>’</w:t>
      </w:r>
      <w:r w:rsidR="0051176C" w:rsidRPr="00522F06">
        <w:rPr>
          <w:lang w:eastAsia="en-GB"/>
        </w:rPr>
        <w:t>agissant d</w:t>
      </w:r>
      <w:r w:rsidR="00522F06">
        <w:rPr>
          <w:lang w:eastAsia="en-GB"/>
        </w:rPr>
        <w:t>’</w:t>
      </w:r>
      <w:r w:rsidR="0051176C" w:rsidRPr="00522F06">
        <w:rPr>
          <w:lang w:eastAsia="en-GB"/>
        </w:rPr>
        <w:t>un recours indemnitaire visant à redresser les conséquences de la durée excessive de procédures, ce laps de temps ne devrait généralement pas dépasser six mois à compter du moment où la décision d</w:t>
      </w:r>
      <w:r w:rsidR="00522F06">
        <w:rPr>
          <w:lang w:eastAsia="en-GB"/>
        </w:rPr>
        <w:t>’</w:t>
      </w:r>
      <w:r w:rsidR="0051176C" w:rsidRPr="00522F06">
        <w:rPr>
          <w:lang w:eastAsia="en-GB"/>
        </w:rPr>
        <w:t xml:space="preserve">indemnisation est devenue exécutoire (voir, entre autres, </w:t>
      </w:r>
      <w:r w:rsidR="0051176C" w:rsidRPr="00522F06">
        <w:rPr>
          <w:i/>
          <w:lang w:eastAsia="en-GB"/>
        </w:rPr>
        <w:t>Cocchiarella</w:t>
      </w:r>
      <w:r w:rsidR="0051176C" w:rsidRPr="00522F06">
        <w:rPr>
          <w:lang w:eastAsia="en-GB"/>
        </w:rPr>
        <w:t>, précité, § 89).</w:t>
      </w:r>
    </w:p>
    <w:p w:rsidR="0051176C" w:rsidRPr="00522F06" w:rsidRDefault="0051176C" w:rsidP="0051176C">
      <w:pPr>
        <w:pStyle w:val="ECHRPara"/>
        <w:rPr>
          <w:lang w:eastAsia="en-GB"/>
        </w:rPr>
      </w:pPr>
      <w:r w:rsidRPr="00522F06">
        <w:rPr>
          <w:lang w:eastAsia="en-GB"/>
        </w:rPr>
        <w:fldChar w:fldCharType="begin"/>
      </w:r>
      <w:r w:rsidRPr="00522F06">
        <w:rPr>
          <w:lang w:eastAsia="en-GB"/>
        </w:rPr>
        <w:instrText xml:space="preserve"> SEQ level0 \*arabic </w:instrText>
      </w:r>
      <w:r w:rsidRPr="00522F06">
        <w:rPr>
          <w:lang w:eastAsia="en-GB"/>
        </w:rPr>
        <w:fldChar w:fldCharType="separate"/>
      </w:r>
      <w:r w:rsidR="00B140C4">
        <w:rPr>
          <w:noProof/>
          <w:lang w:eastAsia="en-GB"/>
        </w:rPr>
        <w:t>24</w:t>
      </w:r>
      <w:r w:rsidRPr="00522F06">
        <w:rPr>
          <w:lang w:eastAsia="en-GB"/>
        </w:rPr>
        <w:fldChar w:fldCharType="end"/>
      </w:r>
      <w:r w:rsidRPr="00522F06">
        <w:rPr>
          <w:lang w:eastAsia="en-GB"/>
        </w:rPr>
        <w:t>.  En outre, une autorité de l</w:t>
      </w:r>
      <w:r w:rsidR="00522F06">
        <w:rPr>
          <w:lang w:eastAsia="en-GB"/>
        </w:rPr>
        <w:t>’</w:t>
      </w:r>
      <w:r w:rsidRPr="00522F06">
        <w:rPr>
          <w:lang w:eastAsia="en-GB"/>
        </w:rPr>
        <w:t xml:space="preserve">Etat ne saurait prétexter du manque de </w:t>
      </w:r>
      <w:r w:rsidRPr="00522F06">
        <w:t>ressources pour ne pas honorer une dette fondée sur une décision de justice (</w:t>
      </w:r>
      <w:r w:rsidRPr="00522F06">
        <w:rPr>
          <w:i/>
        </w:rPr>
        <w:t>ibidem</w:t>
      </w:r>
      <w:r w:rsidRPr="00522F06">
        <w:t xml:space="preserve">, § 90 ; </w:t>
      </w:r>
      <w:r w:rsidRPr="00522F06">
        <w:rPr>
          <w:i/>
        </w:rPr>
        <w:t>Bourdov c. Russie</w:t>
      </w:r>
      <w:r w:rsidRPr="00522F06">
        <w:t>, n</w:t>
      </w:r>
      <w:r w:rsidRPr="00522F06">
        <w:rPr>
          <w:vertAlign w:val="superscript"/>
        </w:rPr>
        <w:t>o</w:t>
      </w:r>
      <w:r w:rsidRPr="00522F06">
        <w:t> 59498/00,</w:t>
      </w:r>
      <w:r w:rsidRPr="00522F06">
        <w:rPr>
          <w:color w:val="000000"/>
          <w:szCs w:val="24"/>
          <w:lang w:eastAsia="en-GB"/>
        </w:rPr>
        <w:t xml:space="preserve"> </w:t>
      </w:r>
      <w:r w:rsidRPr="00522F06">
        <w:rPr>
          <w:lang w:eastAsia="en-GB"/>
        </w:rPr>
        <w:t>§ 35</w:t>
      </w:r>
      <w:r w:rsidRPr="00522F06">
        <w:rPr>
          <w:color w:val="000000"/>
          <w:szCs w:val="24"/>
          <w:lang w:eastAsia="en-GB"/>
        </w:rPr>
        <w:t>, CEDH 2002</w:t>
      </w:r>
      <w:r w:rsidRPr="00522F06">
        <w:rPr>
          <w:color w:val="000000"/>
          <w:szCs w:val="24"/>
          <w:lang w:eastAsia="en-GB"/>
        </w:rPr>
        <w:noBreakHyphen/>
        <w:t>III</w:t>
      </w:r>
      <w:r w:rsidRPr="00522F06">
        <w:rPr>
          <w:lang w:eastAsia="en-GB"/>
        </w:rPr>
        <w:t xml:space="preserve">). </w:t>
      </w:r>
      <w:r w:rsidRPr="00522F06">
        <w:t>La</w:t>
      </w:r>
      <w:r w:rsidR="0068692C" w:rsidRPr="00522F06">
        <w:t> </w:t>
      </w:r>
      <w:r w:rsidRPr="00522F06">
        <w:t>Cour estime, enfin, qu</w:t>
      </w:r>
      <w:r w:rsidR="00522F06">
        <w:t>’</w:t>
      </w:r>
      <w:r w:rsidRPr="00522F06">
        <w:t>eu égard à la nature de la voie de recours interne dont il s</w:t>
      </w:r>
      <w:r w:rsidR="00522F06">
        <w:t>’</w:t>
      </w:r>
      <w:r w:rsidRPr="00522F06">
        <w:t xml:space="preserve">agit, le versement des intérêts moratoires ne saurait être déterminant (voir, </w:t>
      </w:r>
      <w:r w:rsidRPr="00522F06">
        <w:rPr>
          <w:i/>
        </w:rPr>
        <w:t>mutatis mutandis</w:t>
      </w:r>
      <w:r w:rsidRPr="00522F06">
        <w:t xml:space="preserve">, </w:t>
      </w:r>
      <w:r w:rsidRPr="00522F06">
        <w:rPr>
          <w:i/>
          <w:lang w:eastAsia="en-US"/>
        </w:rPr>
        <w:t>Simaldone c. Italie</w:t>
      </w:r>
      <w:r w:rsidRPr="00522F06">
        <w:rPr>
          <w:lang w:eastAsia="en-US"/>
        </w:rPr>
        <w:t>, n</w:t>
      </w:r>
      <w:r w:rsidRPr="00522F06">
        <w:rPr>
          <w:vertAlign w:val="superscript"/>
          <w:lang w:eastAsia="en-US"/>
        </w:rPr>
        <w:t>o</w:t>
      </w:r>
      <w:r w:rsidR="002E2BD5" w:rsidRPr="00522F06">
        <w:rPr>
          <w:vertAlign w:val="superscript"/>
          <w:lang w:eastAsia="en-US"/>
        </w:rPr>
        <w:t xml:space="preserve"> </w:t>
      </w:r>
      <w:r w:rsidRPr="00522F06">
        <w:rPr>
          <w:lang w:eastAsia="en-US"/>
        </w:rPr>
        <w:t>22644/03, § 63, 31 mars 2009).</w:t>
      </w:r>
    </w:p>
    <w:p w:rsidR="002E2BD5" w:rsidRPr="00522F06" w:rsidRDefault="00B140C4" w:rsidP="0051176C">
      <w:pPr>
        <w:pStyle w:val="ECHRPara"/>
        <w:rPr>
          <w:color w:val="000000"/>
          <w:szCs w:val="24"/>
          <w:lang w:eastAsia="en-GB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 w:rsidR="0051176C" w:rsidRPr="00522F06">
        <w:t>.  En l</w:t>
      </w:r>
      <w:r w:rsidR="00522F06">
        <w:t>’</w:t>
      </w:r>
      <w:r w:rsidR="0051176C" w:rsidRPr="00522F06">
        <w:t>espèce, la Cour constate que les retards dans le versement des sommes accordées par les cours d</w:t>
      </w:r>
      <w:r w:rsidR="00522F06">
        <w:t>’</w:t>
      </w:r>
      <w:r w:rsidR="0051176C" w:rsidRPr="00522F06">
        <w:t>appel, lesquelles demeuraient impayées à la date des dernières informations disponibles, sont compris entre 14 et 30 mois, à compter de la date du dépôt au greffe des décisions « Pinto »</w:t>
      </w:r>
      <w:r w:rsidR="0051176C" w:rsidRPr="00522F06">
        <w:rPr>
          <w:color w:val="000000"/>
          <w:szCs w:val="24"/>
          <w:lang w:eastAsia="en-GB"/>
        </w:rPr>
        <w:t xml:space="preserve"> (voir le tableau en annexe). Ils vont donc bien au-delà des six mois prévu par la jurisprudence consolidée de la Cour.</w:t>
      </w:r>
    </w:p>
    <w:p w:rsidR="0051176C" w:rsidRPr="00522F06" w:rsidRDefault="0051176C" w:rsidP="0051176C">
      <w:pPr>
        <w:pStyle w:val="ECHRPara"/>
        <w:rPr>
          <w:color w:val="000000"/>
          <w:szCs w:val="24"/>
          <w:lang w:eastAsia="en-GB"/>
        </w:rPr>
      </w:pPr>
      <w:r w:rsidRPr="00522F06">
        <w:rPr>
          <w:color w:val="000000"/>
          <w:szCs w:val="24"/>
          <w:lang w:eastAsia="en-GB"/>
        </w:rPr>
        <w:fldChar w:fldCharType="begin"/>
      </w:r>
      <w:r w:rsidRPr="00522F06">
        <w:rPr>
          <w:color w:val="000000"/>
          <w:szCs w:val="24"/>
          <w:lang w:eastAsia="en-GB"/>
        </w:rPr>
        <w:instrText xml:space="preserve"> SEQ level0 \*arabic </w:instrText>
      </w:r>
      <w:r w:rsidRPr="00522F06">
        <w:rPr>
          <w:color w:val="000000"/>
          <w:szCs w:val="24"/>
          <w:lang w:eastAsia="en-GB"/>
        </w:rPr>
        <w:fldChar w:fldCharType="separate"/>
      </w:r>
      <w:r w:rsidR="00B140C4">
        <w:rPr>
          <w:noProof/>
          <w:color w:val="000000"/>
          <w:szCs w:val="24"/>
          <w:lang w:eastAsia="en-GB"/>
        </w:rPr>
        <w:t>26</w:t>
      </w:r>
      <w:r w:rsidRPr="00522F06">
        <w:rPr>
          <w:color w:val="000000"/>
          <w:szCs w:val="24"/>
          <w:lang w:eastAsia="en-GB"/>
        </w:rPr>
        <w:fldChar w:fldCharType="end"/>
      </w:r>
      <w:r w:rsidRPr="00522F06">
        <w:rPr>
          <w:color w:val="000000"/>
          <w:szCs w:val="24"/>
          <w:lang w:eastAsia="en-GB"/>
        </w:rPr>
        <w:t>.  Il y a eu, partant, violation du droit des requérants à l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>exécution des décisions judiciaires, tel que garanti par l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>article 6 § 1 de la Convention.</w:t>
      </w:r>
    </w:p>
    <w:p w:rsidR="0051176C" w:rsidRPr="00522F06" w:rsidRDefault="0051176C" w:rsidP="0051176C">
      <w:pPr>
        <w:pStyle w:val="ECHRPara"/>
        <w:rPr>
          <w:i/>
          <w:szCs w:val="24"/>
          <w:lang w:eastAsia="en-US"/>
        </w:rPr>
      </w:pPr>
      <w:r w:rsidRPr="00522F06">
        <w:rPr>
          <w:color w:val="000000"/>
          <w:szCs w:val="24"/>
          <w:lang w:eastAsia="en-GB"/>
        </w:rPr>
        <w:fldChar w:fldCharType="begin"/>
      </w:r>
      <w:r w:rsidRPr="00522F06">
        <w:rPr>
          <w:color w:val="000000"/>
          <w:szCs w:val="24"/>
          <w:lang w:eastAsia="en-GB"/>
        </w:rPr>
        <w:instrText xml:space="preserve"> SEQ level0 \*arabic </w:instrText>
      </w:r>
      <w:r w:rsidRPr="00522F06">
        <w:rPr>
          <w:color w:val="000000"/>
          <w:szCs w:val="24"/>
          <w:lang w:eastAsia="en-GB"/>
        </w:rPr>
        <w:fldChar w:fldCharType="separate"/>
      </w:r>
      <w:r w:rsidR="00B140C4">
        <w:rPr>
          <w:noProof/>
          <w:color w:val="000000"/>
          <w:szCs w:val="24"/>
          <w:lang w:eastAsia="en-GB"/>
        </w:rPr>
        <w:t>27</w:t>
      </w:r>
      <w:r w:rsidRPr="00522F06">
        <w:rPr>
          <w:color w:val="000000"/>
          <w:szCs w:val="24"/>
          <w:lang w:eastAsia="en-GB"/>
        </w:rPr>
        <w:fldChar w:fldCharType="end"/>
      </w:r>
      <w:r w:rsidRPr="00522F06">
        <w:rPr>
          <w:color w:val="000000"/>
          <w:szCs w:val="24"/>
          <w:lang w:eastAsia="en-GB"/>
        </w:rPr>
        <w:t>.  Compte tenu des motifs pour lesquels elle a conclu à la violation de l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>article 6, et à la lumière de l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>approche adoptée par la Cour dans l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 xml:space="preserve">affaire </w:t>
      </w:r>
      <w:r w:rsidRPr="00522F06">
        <w:rPr>
          <w:i/>
          <w:iCs/>
          <w:color w:val="000000"/>
          <w:szCs w:val="24"/>
          <w:lang w:eastAsia="en-GB"/>
        </w:rPr>
        <w:t>Simaldone c. Italie</w:t>
      </w:r>
      <w:r w:rsidRPr="00522F06">
        <w:rPr>
          <w:iCs/>
          <w:color w:val="000000"/>
          <w:szCs w:val="24"/>
          <w:lang w:eastAsia="en-GB"/>
        </w:rPr>
        <w:t>, susmentionnée</w:t>
      </w:r>
      <w:r w:rsidRPr="00522F06">
        <w:rPr>
          <w:color w:val="000000"/>
          <w:szCs w:val="24"/>
          <w:lang w:eastAsia="en-GB"/>
        </w:rPr>
        <w:t>, la Cour estime qu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>en l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>espèce, il y a également eu violation de l</w:t>
      </w:r>
      <w:r w:rsidR="00522F06">
        <w:rPr>
          <w:color w:val="000000"/>
          <w:szCs w:val="24"/>
          <w:lang w:eastAsia="en-GB"/>
        </w:rPr>
        <w:t>’</w:t>
      </w:r>
      <w:r w:rsidRPr="00522F06">
        <w:rPr>
          <w:color w:val="000000"/>
          <w:szCs w:val="24"/>
          <w:lang w:eastAsia="en-GB"/>
        </w:rPr>
        <w:t>article 1 du Protocole n</w:t>
      </w:r>
      <w:r w:rsidR="002E2BD5" w:rsidRPr="00522F06">
        <w:rPr>
          <w:color w:val="000000"/>
          <w:szCs w:val="24"/>
          <w:vertAlign w:val="superscript"/>
          <w:lang w:eastAsia="en-GB"/>
        </w:rPr>
        <w:t>o</w:t>
      </w:r>
      <w:r w:rsidR="002E2BD5" w:rsidRPr="00522F06">
        <w:rPr>
          <w:color w:val="000000"/>
          <w:szCs w:val="24"/>
          <w:lang w:eastAsia="en-GB"/>
        </w:rPr>
        <w:t xml:space="preserve"> </w:t>
      </w:r>
      <w:r w:rsidRPr="00522F06">
        <w:rPr>
          <w:color w:val="000000"/>
          <w:szCs w:val="24"/>
          <w:lang w:eastAsia="en-GB"/>
        </w:rPr>
        <w:t>1.</w:t>
      </w:r>
    </w:p>
    <w:p w:rsidR="0051176C" w:rsidRPr="00522F06" w:rsidRDefault="0051176C" w:rsidP="0051176C">
      <w:pPr>
        <w:pStyle w:val="ECHRHeading1"/>
        <w:rPr>
          <w:noProof/>
        </w:rPr>
      </w:pPr>
      <w:r w:rsidRPr="00522F06">
        <w:rPr>
          <w:noProof/>
        </w:rPr>
        <w:t>III.  SUR LES AUTRES VIOLATIONS ALLÉGUÉES</w:t>
      </w:r>
    </w:p>
    <w:p w:rsidR="0051176C" w:rsidRPr="00522F06" w:rsidRDefault="0051176C" w:rsidP="0051176C">
      <w:pPr>
        <w:pStyle w:val="ECHRPara"/>
        <w:rPr>
          <w:color w:val="000000"/>
        </w:rPr>
      </w:pPr>
      <w:r w:rsidRPr="00522F06">
        <w:rPr>
          <w:lang w:eastAsia="en-GB"/>
        </w:rPr>
        <w:fldChar w:fldCharType="begin"/>
      </w:r>
      <w:r w:rsidRPr="00522F06">
        <w:rPr>
          <w:lang w:eastAsia="en-GB"/>
        </w:rPr>
        <w:instrText xml:space="preserve"> SEQ level0 \*arabic </w:instrText>
      </w:r>
      <w:r w:rsidRPr="00522F06">
        <w:rPr>
          <w:lang w:eastAsia="en-GB"/>
        </w:rPr>
        <w:fldChar w:fldCharType="separate"/>
      </w:r>
      <w:r w:rsidR="00B140C4">
        <w:rPr>
          <w:noProof/>
          <w:lang w:eastAsia="en-GB"/>
        </w:rPr>
        <w:t>28</w:t>
      </w:r>
      <w:r w:rsidRPr="00522F06">
        <w:rPr>
          <w:lang w:eastAsia="en-GB"/>
        </w:rPr>
        <w:fldChar w:fldCharType="end"/>
      </w:r>
      <w:r w:rsidRPr="00522F06">
        <w:rPr>
          <w:lang w:eastAsia="en-GB"/>
        </w:rPr>
        <w:t xml:space="preserve">.  Certains requérants (requêtes </w:t>
      </w:r>
      <w:r w:rsidRPr="00522F06">
        <w:rPr>
          <w:noProof/>
        </w:rPr>
        <w:t>n</w:t>
      </w:r>
      <w:r w:rsidRPr="00522F06">
        <w:rPr>
          <w:noProof/>
          <w:vertAlign w:val="superscript"/>
        </w:rPr>
        <w:t>os</w:t>
      </w:r>
      <w:r w:rsidRPr="00522F06">
        <w:rPr>
          <w:noProof/>
        </w:rPr>
        <w:t xml:space="preserve"> </w:t>
      </w:r>
      <w:r w:rsidRPr="00522F06">
        <w:t xml:space="preserve">16412/03, 16413/03, 16414/03, 16415/03, 16416/03, 16417/03, 22294/03 et 22353/03) </w:t>
      </w:r>
      <w:r w:rsidRPr="00522F06">
        <w:rPr>
          <w:color w:val="000000"/>
        </w:rPr>
        <w:t>se plaignent par ailleurs des conséquences négatives de la durée des procédures les concernant sur</w:t>
      </w:r>
      <w:r w:rsidRPr="00522F06">
        <w:rPr>
          <w:b/>
          <w:bCs/>
          <w:color w:val="000000"/>
        </w:rPr>
        <w:t xml:space="preserve"> </w:t>
      </w:r>
      <w:r w:rsidRPr="00522F06">
        <w:rPr>
          <w:color w:val="000000"/>
        </w:rPr>
        <w:t>leurs vies privées et familiales.</w:t>
      </w:r>
    </w:p>
    <w:p w:rsidR="0051176C" w:rsidRPr="00522F06" w:rsidRDefault="0051176C" w:rsidP="0051176C">
      <w:pPr>
        <w:pStyle w:val="ECHRPara"/>
        <w:rPr>
          <w:lang w:eastAsia="en-GB"/>
        </w:rPr>
      </w:pPr>
      <w:r w:rsidRPr="00522F06">
        <w:rPr>
          <w:color w:val="000000"/>
        </w:rPr>
        <w:fldChar w:fldCharType="begin"/>
      </w:r>
      <w:r w:rsidRPr="00522F06">
        <w:rPr>
          <w:color w:val="000000"/>
        </w:rPr>
        <w:instrText xml:space="preserve"> SEQ level0 \*arabic </w:instrText>
      </w:r>
      <w:r w:rsidRPr="00522F06">
        <w:rPr>
          <w:color w:val="000000"/>
        </w:rPr>
        <w:fldChar w:fldCharType="separate"/>
      </w:r>
      <w:r w:rsidR="00B140C4">
        <w:rPr>
          <w:noProof/>
          <w:color w:val="000000"/>
        </w:rPr>
        <w:t>29</w:t>
      </w:r>
      <w:r w:rsidRPr="00522F06">
        <w:rPr>
          <w:color w:val="000000"/>
        </w:rPr>
        <w:fldChar w:fldCharType="end"/>
      </w:r>
      <w:r w:rsidRPr="00522F06">
        <w:rPr>
          <w:color w:val="000000"/>
        </w:rPr>
        <w:t>.  Toutefois, la Cour observe que ces derniers n</w:t>
      </w:r>
      <w:r w:rsidR="00522F06">
        <w:rPr>
          <w:color w:val="000000"/>
        </w:rPr>
        <w:t>’</w:t>
      </w:r>
      <w:r w:rsidRPr="00522F06">
        <w:rPr>
          <w:color w:val="000000"/>
        </w:rPr>
        <w:t>ont aucunement démontré l</w:t>
      </w:r>
      <w:r w:rsidR="00522F06">
        <w:rPr>
          <w:color w:val="000000"/>
        </w:rPr>
        <w:t>’</w:t>
      </w:r>
      <w:r w:rsidRPr="00522F06">
        <w:rPr>
          <w:color w:val="000000"/>
        </w:rPr>
        <w:t>existence d</w:t>
      </w:r>
      <w:r w:rsidR="00522F06">
        <w:rPr>
          <w:color w:val="000000"/>
        </w:rPr>
        <w:t>’</w:t>
      </w:r>
      <w:r w:rsidRPr="00522F06">
        <w:rPr>
          <w:color w:val="000000"/>
        </w:rPr>
        <w:t>un lien entre le prolongement déraisonnable des procédures litigieuses et le préjudice invoqué. Dans ces circonstances, la Cour estime qu</w:t>
      </w:r>
      <w:r w:rsidR="00522F06">
        <w:rPr>
          <w:color w:val="000000"/>
        </w:rPr>
        <w:t>’</w:t>
      </w:r>
      <w:r w:rsidRPr="00522F06">
        <w:rPr>
          <w:color w:val="000000"/>
        </w:rPr>
        <w:t xml:space="preserve">il convient de rejeter ces griefs comme étant manifestement mal fondés, </w:t>
      </w:r>
      <w:r w:rsidRPr="00522F06">
        <w:rPr>
          <w:lang w:eastAsia="en-GB"/>
        </w:rPr>
        <w:t>au sens de l</w:t>
      </w:r>
      <w:r w:rsidR="00522F06">
        <w:rPr>
          <w:lang w:eastAsia="en-GB"/>
        </w:rPr>
        <w:t>’</w:t>
      </w:r>
      <w:r w:rsidRPr="00522F06">
        <w:rPr>
          <w:lang w:eastAsia="en-GB"/>
        </w:rPr>
        <w:t>article 35 §§ 3 et 4 de la Convention.</w:t>
      </w:r>
    </w:p>
    <w:p w:rsidR="0051176C" w:rsidRPr="00522F06" w:rsidRDefault="0051176C" w:rsidP="0051176C">
      <w:pPr>
        <w:pStyle w:val="ECHRHeading1"/>
        <w:rPr>
          <w:rStyle w:val="JuHIRomanChar1"/>
        </w:rPr>
      </w:pPr>
      <w:r w:rsidRPr="00522F06">
        <w:rPr>
          <w:rStyle w:val="JuHIRomanChar1"/>
        </w:rPr>
        <w:t>IV.  SUR L</w:t>
      </w:r>
      <w:r w:rsidR="00522F06">
        <w:rPr>
          <w:rStyle w:val="JuHIRomanChar1"/>
        </w:rPr>
        <w:t>’</w:t>
      </w:r>
      <w:r w:rsidRPr="00522F06">
        <w:rPr>
          <w:rStyle w:val="JuHIRomanChar1"/>
        </w:rPr>
        <w:t>APPLICATION DE L</w:t>
      </w:r>
      <w:r w:rsidR="00522F06">
        <w:rPr>
          <w:rStyle w:val="JuHIRomanChar1"/>
        </w:rPr>
        <w:t>’</w:t>
      </w:r>
      <w:r w:rsidRPr="00522F06">
        <w:rPr>
          <w:rStyle w:val="JuHIRomanChar1"/>
        </w:rPr>
        <w:t>ARTICLE 41 DE LA CONVENTION</w:t>
      </w:r>
    </w:p>
    <w:p w:rsidR="0051176C" w:rsidRPr="00522F06" w:rsidRDefault="00B140C4" w:rsidP="0051176C">
      <w:pPr>
        <w:pStyle w:val="ECHRPara"/>
        <w:outlineLvl w:val="0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  <w:r w:rsidR="0051176C" w:rsidRPr="00522F06">
        <w:t>.  Aux termes de l</w:t>
      </w:r>
      <w:r w:rsidR="00522F06">
        <w:t>’</w:t>
      </w:r>
      <w:r w:rsidR="0051176C" w:rsidRPr="00522F06">
        <w:t>article 41 de la Convention,</w:t>
      </w:r>
    </w:p>
    <w:p w:rsidR="0051176C" w:rsidRPr="00522F06" w:rsidRDefault="0051176C" w:rsidP="0051176C">
      <w:pPr>
        <w:pStyle w:val="ECHRParaQuote"/>
        <w:keepNext/>
        <w:keepLines/>
      </w:pPr>
      <w:r w:rsidRPr="00522F06">
        <w:t>« Si la Cour déclare qu</w:t>
      </w:r>
      <w:r w:rsidR="00522F06">
        <w:t>’</w:t>
      </w:r>
      <w:r w:rsidRPr="00522F06">
        <w:t>il y a eu violation de la Convention ou de ses Protocoles, et si le droit interne de la Haute Partie contractante ne permet d</w:t>
      </w:r>
      <w:r w:rsidR="00522F06">
        <w:t>’</w:t>
      </w:r>
      <w:r w:rsidRPr="00522F06">
        <w:t>effacer qu</w:t>
      </w:r>
      <w:r w:rsidR="00522F06">
        <w:t>’</w:t>
      </w:r>
      <w:r w:rsidRPr="00522F06">
        <w:t>imparfaitement les conséquences de cette violation, la Cour accorde à la partie lésée, s</w:t>
      </w:r>
      <w:r w:rsidR="00522F06">
        <w:t>’</w:t>
      </w:r>
      <w:r w:rsidRPr="00522F06">
        <w:t>il y a lieu, une satisfaction équitable. »</w:t>
      </w:r>
    </w:p>
    <w:p w:rsidR="0051176C" w:rsidRPr="00522F06" w:rsidRDefault="0051176C" w:rsidP="0051176C">
      <w:pPr>
        <w:pStyle w:val="ECHRHeading2"/>
        <w:outlineLvl w:val="0"/>
      </w:pPr>
      <w:r w:rsidRPr="00522F06">
        <w:t>A.  Dommage</w:t>
      </w:r>
    </w:p>
    <w:bookmarkStart w:id="10" w:name="OLE_LINK1"/>
    <w:bookmarkStart w:id="11" w:name="OLE_LINK2"/>
    <w:p w:rsidR="0051176C" w:rsidRPr="00522F06" w:rsidRDefault="0051176C" w:rsidP="0051176C">
      <w:pPr>
        <w:pStyle w:val="ECHRPara"/>
      </w:pPr>
      <w:r w:rsidRPr="00522F06">
        <w:fldChar w:fldCharType="begin"/>
      </w:r>
      <w:r w:rsidRPr="00522F06">
        <w:instrText xml:space="preserve"> SEQ level0 \*arabic </w:instrText>
      </w:r>
      <w:r w:rsidRPr="00522F06">
        <w:fldChar w:fldCharType="separate"/>
      </w:r>
      <w:r w:rsidR="00B140C4">
        <w:rPr>
          <w:noProof/>
        </w:rPr>
        <w:t>31</w:t>
      </w:r>
      <w:r w:rsidRPr="00522F06">
        <w:fldChar w:fldCharType="end"/>
      </w:r>
      <w:r w:rsidRPr="00522F06">
        <w:t>.  Les requérants réclament les sommes suivantes au titre du préjudice moral qu</w:t>
      </w:r>
      <w:r w:rsidR="00522F06">
        <w:t>’</w:t>
      </w:r>
      <w:r w:rsidRPr="00522F06">
        <w:t>ils auraient subi.</w:t>
      </w:r>
    </w:p>
    <w:p w:rsidR="0051176C" w:rsidRPr="00522F06" w:rsidRDefault="0051176C" w:rsidP="0051176C">
      <w:pPr>
        <w:pStyle w:val="ECHRPara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1270"/>
        <w:gridCol w:w="5813"/>
      </w:tblGrid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N</w:t>
            </w:r>
            <w:r w:rsidR="002E2BD5" w:rsidRPr="00522F06">
              <w:rPr>
                <w:b/>
                <w:sz w:val="22"/>
                <w:vertAlign w:val="superscript"/>
              </w:rPr>
              <w:t>o</w:t>
            </w:r>
            <w:r w:rsidRPr="00522F06">
              <w:rPr>
                <w:b/>
                <w:sz w:val="22"/>
              </w:rPr>
              <w:t xml:space="preserve"> requête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Prétentions au titre du préjudice moral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16412/03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1 500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2.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16413/03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1 500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3.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16414/03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1 500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4.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16415/03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1 500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5.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16416/03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1 500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6.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16417/03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1 500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7.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22294/03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2 000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8.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22351/03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2 000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9.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22353/03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12 950 EUR pour chacun des quatre requérants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10.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22354/03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2 000 EUR par an de retard</w:t>
            </w:r>
          </w:p>
        </w:tc>
      </w:tr>
      <w:tr w:rsidR="0051176C" w:rsidRPr="00522F06" w:rsidTr="00CE762D">
        <w:tc>
          <w:tcPr>
            <w:tcW w:w="491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11.</w:t>
            </w:r>
          </w:p>
        </w:tc>
        <w:tc>
          <w:tcPr>
            <w:tcW w:w="127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rPr>
                <w:sz w:val="22"/>
              </w:rPr>
            </w:pPr>
            <w:r w:rsidRPr="00522F06">
              <w:rPr>
                <w:sz w:val="22"/>
              </w:rPr>
              <w:t>22355/03</w:t>
            </w:r>
          </w:p>
        </w:tc>
        <w:tc>
          <w:tcPr>
            <w:tcW w:w="5813" w:type="dxa"/>
            <w:shd w:val="clear" w:color="auto" w:fill="auto"/>
          </w:tcPr>
          <w:p w:rsidR="0051176C" w:rsidRPr="00522F06" w:rsidRDefault="0051176C" w:rsidP="00CE762D">
            <w:pPr>
              <w:rPr>
                <w:lang w:val="fr-FR"/>
              </w:rPr>
            </w:pPr>
            <w:r w:rsidRPr="00522F06">
              <w:rPr>
                <w:sz w:val="22"/>
                <w:lang w:val="fr-FR"/>
              </w:rPr>
              <w:t>2 000 EUR par an de retard</w:t>
            </w:r>
          </w:p>
        </w:tc>
      </w:tr>
    </w:tbl>
    <w:p w:rsidR="0051176C" w:rsidRPr="00522F06" w:rsidRDefault="0051176C" w:rsidP="0051176C">
      <w:pPr>
        <w:pStyle w:val="ECHRPara"/>
      </w:pPr>
    </w:p>
    <w:p w:rsidR="002E2BD5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  <w:r w:rsidR="0051176C" w:rsidRPr="00522F06">
        <w:t>.  Le Gouvernement conteste ces prétentions.</w:t>
      </w:r>
    </w:p>
    <w:p w:rsidR="0051176C" w:rsidRPr="00522F06" w:rsidRDefault="00B140C4" w:rsidP="0051176C">
      <w:pPr>
        <w:pStyle w:val="ECHRPara"/>
        <w:rPr>
          <w:i/>
          <w:lang w:eastAsia="en-US"/>
        </w:rPr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  <w:r w:rsidR="0051176C" w:rsidRPr="00522F06">
        <w:t>.  Compte tenu de la solution adoptée dans l</w:t>
      </w:r>
      <w:r w:rsidR="00522F06">
        <w:t>’</w:t>
      </w:r>
      <w:r w:rsidR="0051176C" w:rsidRPr="00522F06">
        <w:t xml:space="preserve">arrêt </w:t>
      </w:r>
      <w:r w:rsidR="0051176C" w:rsidRPr="00522F06">
        <w:rPr>
          <w:i/>
        </w:rPr>
        <w:t xml:space="preserve">Cocchiarella c. Italie </w:t>
      </w:r>
      <w:r w:rsidR="0051176C" w:rsidRPr="00522F06">
        <w:t xml:space="preserve">(précité, §§ 139-142 et 146) </w:t>
      </w:r>
      <w:r w:rsidR="0051176C" w:rsidRPr="00522F06">
        <w:rPr>
          <w:snapToGrid w:val="0"/>
          <w:szCs w:val="24"/>
          <w:lang w:val="pt-BR" w:eastAsia="en-US"/>
        </w:rPr>
        <w:t xml:space="preserve">et </w:t>
      </w:r>
      <w:r w:rsidR="0051176C" w:rsidRPr="00522F06">
        <w:t>statuant en équité, la Cour alloue aux requérants les sommes indiquées dans le tableau ci-dessous, comparées aux montants qu</w:t>
      </w:r>
      <w:r w:rsidR="00522F06">
        <w:t>’</w:t>
      </w:r>
      <w:r w:rsidR="0051176C" w:rsidRPr="00522F06">
        <w:t>elle aurait octroyés en l</w:t>
      </w:r>
      <w:r w:rsidR="00522F06">
        <w:t>’</w:t>
      </w:r>
      <w:r w:rsidR="0051176C" w:rsidRPr="00522F06">
        <w:t>absence d</w:t>
      </w:r>
      <w:r w:rsidR="00522F06">
        <w:t>’</w:t>
      </w:r>
      <w:r w:rsidR="0051176C" w:rsidRPr="00522F06">
        <w:t>une voie de recours interne, en tenant compte de l</w:t>
      </w:r>
      <w:r w:rsidR="00522F06">
        <w:t>’</w:t>
      </w:r>
      <w:r w:rsidR="0051176C" w:rsidRPr="00522F06">
        <w:t>objet de chaque litige, de l</w:t>
      </w:r>
      <w:r w:rsidR="00522F06">
        <w:t>’</w:t>
      </w:r>
      <w:r w:rsidR="0051176C" w:rsidRPr="00522F06">
        <w:t>enjeu des procédures et de l</w:t>
      </w:r>
      <w:r w:rsidR="00522F06">
        <w:t>’</w:t>
      </w:r>
      <w:r w:rsidR="0051176C" w:rsidRPr="00522F06">
        <w:t>existence de retards imputables aux requérants.</w:t>
      </w:r>
    </w:p>
    <w:p w:rsidR="0051176C" w:rsidRPr="00522F06" w:rsidRDefault="0051176C" w:rsidP="0051176C">
      <w:pPr>
        <w:pStyle w:val="ECHRPara"/>
      </w:pPr>
    </w:p>
    <w:bookmarkEnd w:id="10"/>
    <w:bookmarkEnd w:id="11"/>
    <w:tbl>
      <w:tblPr>
        <w:tblW w:w="7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134"/>
        <w:gridCol w:w="1565"/>
        <w:gridCol w:w="1418"/>
        <w:gridCol w:w="2828"/>
      </w:tblGrid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N</w:t>
            </w:r>
            <w:r w:rsidRPr="00522F06">
              <w:rPr>
                <w:b/>
                <w:sz w:val="22"/>
                <w:vertAlign w:val="superscript"/>
              </w:rPr>
              <w:t>o</w:t>
            </w:r>
            <w:r w:rsidRPr="00522F06">
              <w:rPr>
                <w:b/>
                <w:sz w:val="22"/>
              </w:rPr>
              <w:t> </w:t>
            </w:r>
            <w:r w:rsidRPr="00522F06">
              <w:rPr>
                <w:b/>
                <w:sz w:val="22"/>
              </w:rPr>
              <w:br/>
              <w:t>requête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Somme que la Cour aurait accordé</w:t>
            </w:r>
            <w:r w:rsidR="00AB03C5" w:rsidRPr="00522F06">
              <w:rPr>
                <w:b/>
                <w:sz w:val="22"/>
              </w:rPr>
              <w:t>e</w:t>
            </w:r>
            <w:r w:rsidRPr="00522F06">
              <w:rPr>
                <w:b/>
                <w:sz w:val="22"/>
              </w:rPr>
              <w:t xml:space="preserve"> en l</w:t>
            </w:r>
            <w:r w:rsidR="00522F06">
              <w:rPr>
                <w:b/>
                <w:sz w:val="22"/>
              </w:rPr>
              <w:t>’</w:t>
            </w:r>
            <w:r w:rsidRPr="00522F06">
              <w:rPr>
                <w:b/>
                <w:sz w:val="22"/>
              </w:rPr>
              <w:t>absence d</w:t>
            </w:r>
            <w:r w:rsidR="00522F06">
              <w:rPr>
                <w:b/>
                <w:sz w:val="22"/>
              </w:rPr>
              <w:t>’</w:t>
            </w:r>
            <w:r w:rsidRPr="00522F06">
              <w:rPr>
                <w:b/>
                <w:sz w:val="22"/>
              </w:rPr>
              <w:t>une voie de recours interne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Pourcentage alloué par la juridiction « Pinto 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Somme accordée pour dommage moral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  <w:r w:rsidRPr="00522F06">
              <w:rPr>
                <w:sz w:val="22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16412/03</w:t>
            </w: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8 000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18,75 %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2 100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2"/>
              </w:rPr>
            </w:pPr>
            <w:r w:rsidRPr="00522F06">
              <w:rPr>
                <w:sz w:val="22"/>
              </w:rPr>
              <w:t>16413/03</w:t>
            </w:r>
          </w:p>
          <w:p w:rsidR="0051176C" w:rsidRPr="00522F06" w:rsidRDefault="0051176C" w:rsidP="00CE762D">
            <w:pPr>
              <w:jc w:val="center"/>
            </w:pP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22 000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34 %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jc w:val="center"/>
              <w:rPr>
                <w:color w:val="000000"/>
                <w:sz w:val="22"/>
                <w:lang w:val="fr-FR"/>
              </w:rPr>
            </w:pPr>
            <w:r w:rsidRPr="00522F06">
              <w:rPr>
                <w:color w:val="000000"/>
                <w:sz w:val="22"/>
                <w:lang w:val="fr-FR"/>
              </w:rPr>
              <w:t>2 400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jc w:val="center"/>
            </w:pPr>
            <w:r w:rsidRPr="00522F06">
              <w:rPr>
                <w:sz w:val="22"/>
              </w:rPr>
              <w:t>16414</w:t>
            </w:r>
            <w:r w:rsidRPr="00522F06">
              <w:rPr>
                <w:sz w:val="22"/>
                <w:lang w:val="it-IT"/>
              </w:rPr>
              <w:t>/03</w:t>
            </w: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14 000 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11,5 %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4 700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jc w:val="center"/>
            </w:pPr>
            <w:r w:rsidRPr="00522F06">
              <w:rPr>
                <w:sz w:val="22"/>
              </w:rPr>
              <w:t>16415/03</w:t>
            </w:r>
          </w:p>
          <w:p w:rsidR="0051176C" w:rsidRPr="00522F06" w:rsidRDefault="0051176C" w:rsidP="00CE762D">
            <w:pPr>
              <w:jc w:val="center"/>
            </w:pP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8 000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10 %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2 800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jc w:val="center"/>
            </w:pPr>
            <w:r w:rsidRPr="00522F06">
              <w:rPr>
                <w:sz w:val="22"/>
              </w:rPr>
              <w:t>16416/03</w:t>
            </w: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18 000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4 %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7 350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jc w:val="center"/>
            </w:pPr>
            <w:r w:rsidRPr="00522F06">
              <w:rPr>
                <w:sz w:val="22"/>
              </w:rPr>
              <w:t>16417/03</w:t>
            </w: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12 000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12,5 %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3 900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jc w:val="center"/>
            </w:pPr>
            <w:r w:rsidRPr="00522F06">
              <w:rPr>
                <w:sz w:val="22"/>
              </w:rPr>
              <w:t>22294</w:t>
            </w:r>
            <w:r w:rsidRPr="00522F06">
              <w:rPr>
                <w:sz w:val="22"/>
                <w:lang w:val="it-IT"/>
              </w:rPr>
              <w:t>/03</w:t>
            </w: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30 000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10,8 %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10 250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r w:rsidRPr="00522F06">
              <w:rPr>
                <w:sz w:val="22"/>
              </w:rPr>
              <w:t>22351/03</w:t>
            </w: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16 000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7,8 %</w:t>
            </w: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5 950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r w:rsidRPr="00522F06">
              <w:rPr>
                <w:sz w:val="22"/>
              </w:rPr>
              <w:t>22353/03</w:t>
            </w: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14 000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20 %</w:t>
            </w: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3 500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r w:rsidRPr="00522F06">
              <w:rPr>
                <w:sz w:val="22"/>
              </w:rPr>
              <w:t>22354/03</w:t>
            </w: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30 000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6,6 %</w:t>
            </w: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11 500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  <w:tr w:rsidR="0051176C" w:rsidRPr="00522F06" w:rsidTr="00CE762D">
        <w:trPr>
          <w:jc w:val="center"/>
        </w:trPr>
        <w:tc>
          <w:tcPr>
            <w:tcW w:w="770" w:type="dxa"/>
            <w:shd w:val="clear" w:color="auto" w:fill="auto"/>
          </w:tcPr>
          <w:p w:rsidR="0051176C" w:rsidRPr="00522F06" w:rsidRDefault="0051176C" w:rsidP="002E2BD5">
            <w:pPr>
              <w:pStyle w:val="ECHRPara"/>
              <w:numPr>
                <w:ilvl w:val="0"/>
                <w:numId w:val="16"/>
              </w:numPr>
              <w:suppressAutoHyphens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1176C" w:rsidRPr="00522F06" w:rsidRDefault="0051176C" w:rsidP="00CE762D">
            <w:pPr>
              <w:jc w:val="center"/>
            </w:pPr>
            <w:r w:rsidRPr="00522F06">
              <w:rPr>
                <w:sz w:val="22"/>
              </w:rPr>
              <w:t>22355/03</w:t>
            </w:r>
          </w:p>
          <w:p w:rsidR="0051176C" w:rsidRPr="00522F06" w:rsidRDefault="0051176C" w:rsidP="00CE762D">
            <w:pPr>
              <w:jc w:val="center"/>
              <w:rPr>
                <w:b/>
                <w:sz w:val="22"/>
              </w:rPr>
            </w:pPr>
          </w:p>
        </w:tc>
        <w:tc>
          <w:tcPr>
            <w:tcW w:w="1565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16 000 EUR</w:t>
            </w:r>
          </w:p>
        </w:tc>
        <w:tc>
          <w:tcPr>
            <w:tcW w:w="141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15,6 %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282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</w:rPr>
              <w:t>4 700 EUR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2"/>
              </w:rPr>
            </w:pPr>
            <w:r w:rsidRPr="00522F06">
              <w:rPr>
                <w:color w:val="000000"/>
                <w:sz w:val="22"/>
                <w:lang w:eastAsia="en-GB"/>
              </w:rPr>
              <w:t>+ 200 EUR (retard de plus de 6 mois dans le paiement de l</w:t>
            </w:r>
            <w:r w:rsidR="00522F06">
              <w:rPr>
                <w:color w:val="000000"/>
                <w:sz w:val="22"/>
                <w:lang w:eastAsia="en-GB"/>
              </w:rPr>
              <w:t>’</w:t>
            </w:r>
            <w:r w:rsidRPr="00522F06">
              <w:rPr>
                <w:color w:val="000000"/>
                <w:sz w:val="22"/>
                <w:lang w:eastAsia="en-GB"/>
              </w:rPr>
              <w:t>indemnisation « Pinto »)</w:t>
            </w:r>
          </w:p>
        </w:tc>
      </w:tr>
    </w:tbl>
    <w:p w:rsidR="0051176C" w:rsidRPr="00522F06" w:rsidRDefault="0051176C" w:rsidP="0051176C">
      <w:pPr>
        <w:pStyle w:val="ECHRHeading2"/>
        <w:outlineLvl w:val="0"/>
      </w:pPr>
      <w:r w:rsidRPr="00522F06">
        <w:t>B.  Frais et dépens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  <w:r w:rsidR="0051176C" w:rsidRPr="00522F06">
        <w:t xml:space="preserve">.  Les requérants réclament en outre des sommes comprises entre 1 010 et 2 195 EUR </w:t>
      </w:r>
      <w:r w:rsidR="0051176C" w:rsidRPr="00522F06">
        <w:rPr>
          <w:color w:val="000000"/>
        </w:rPr>
        <w:t>pour les frais et dépens engagés au cours de la procédure « Pinto » et devant la Cour.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  <w:r w:rsidR="0051176C" w:rsidRPr="00522F06">
        <w:t>.</w:t>
      </w:r>
      <w:r w:rsidR="005D09D5" w:rsidRPr="00522F06">
        <w:t>  </w:t>
      </w:r>
      <w:r w:rsidR="0051176C" w:rsidRPr="00522F06">
        <w:t>Le Gouvernement conteste ces prétentions.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  <w:r w:rsidR="0089224C" w:rsidRPr="00522F06">
        <w:t>.  </w:t>
      </w:r>
      <w:r w:rsidR="0051176C" w:rsidRPr="00522F06">
        <w:t>La Cour rappelle que, selon sa jurisprudence, l</w:t>
      </w:r>
      <w:r w:rsidR="00522F06">
        <w:t>’</w:t>
      </w:r>
      <w:r w:rsidR="0051176C" w:rsidRPr="00522F06">
        <w:t>allocation des frais et dépens au titre de l</w:t>
      </w:r>
      <w:r w:rsidR="00522F06">
        <w:t>’</w:t>
      </w:r>
      <w:r w:rsidR="0051176C" w:rsidRPr="00522F06">
        <w:t>article 41 présuppose que se trouvent établis leur réalité, leur nécessité et le caractère raisonnable de leur taux (</w:t>
      </w:r>
      <w:r w:rsidR="0051176C" w:rsidRPr="00522F06">
        <w:rPr>
          <w:rStyle w:val="ju-005fpara-002cleft-002cfirst-0020line-003a-0020-00200-0020cm--char"/>
          <w:i/>
          <w:iCs/>
        </w:rPr>
        <w:t>Can et autres c. Turquie</w:t>
      </w:r>
      <w:r w:rsidR="0051176C" w:rsidRPr="00522F06">
        <w:t>, n</w:t>
      </w:r>
      <w:r w:rsidR="0051176C" w:rsidRPr="00522F06">
        <w:rPr>
          <w:vertAlign w:val="superscript"/>
        </w:rPr>
        <w:t>o</w:t>
      </w:r>
      <w:r w:rsidR="0051176C" w:rsidRPr="00522F06">
        <w:t xml:space="preserve"> 29189/02, § 22, 24 janvier 2008). En outre, les frais de justice ne sont recouvrables que dans la mesure où ils se rapportent à la violation constatée (voir, par exemple, </w:t>
      </w:r>
      <w:r w:rsidR="0051176C" w:rsidRPr="00522F06">
        <w:rPr>
          <w:rStyle w:val="ju-005fpara-002cleft-002cfirst-0020line-003a-0020-00200-0020cm--char"/>
          <w:i/>
          <w:iCs/>
        </w:rPr>
        <w:t xml:space="preserve">Beyeler c. </w:t>
      </w:r>
      <w:bookmarkStart w:id="12" w:name="HIT10"/>
      <w:bookmarkEnd w:id="12"/>
      <w:r w:rsidR="0051176C" w:rsidRPr="00522F06">
        <w:rPr>
          <w:rStyle w:val="ju-005fpara-002cleft-002cfirst-0020line-003a-0020-00200-0020cm--char"/>
          <w:bCs/>
          <w:i/>
          <w:iCs/>
        </w:rPr>
        <w:t>Italie</w:t>
      </w:r>
      <w:r w:rsidR="0051176C" w:rsidRPr="00522F06">
        <w:t xml:space="preserve"> (satisfaction équitable) [GC], n</w:t>
      </w:r>
      <w:r w:rsidR="0051176C" w:rsidRPr="00522F06">
        <w:rPr>
          <w:vertAlign w:val="superscript"/>
        </w:rPr>
        <w:t>o</w:t>
      </w:r>
      <w:r w:rsidR="0051176C" w:rsidRPr="00522F06">
        <w:t xml:space="preserve"> 33202/96, § 27, 28 mai 2002 ; </w:t>
      </w:r>
      <w:r w:rsidR="0051176C" w:rsidRPr="00522F06">
        <w:rPr>
          <w:rStyle w:val="ju-005fpara-002cleft-002cfirst-0020line-003a-0020-00200-0020cm--char"/>
          <w:i/>
          <w:iCs/>
        </w:rPr>
        <w:t>Sahin c. Allemagne</w:t>
      </w:r>
      <w:r w:rsidR="0051176C" w:rsidRPr="00522F06">
        <w:t xml:space="preserve"> [GC],</w:t>
      </w:r>
      <w:r w:rsidR="0051176C" w:rsidRPr="00522F06">
        <w:rPr>
          <w:rStyle w:val="ju-005fpara-002cleft-002cfirst-0020line-003a-0020-00200-0020cm--char"/>
          <w:i/>
          <w:iCs/>
        </w:rPr>
        <w:t xml:space="preserve"> </w:t>
      </w:r>
      <w:r w:rsidR="0051176C" w:rsidRPr="00522F06">
        <w:t>n</w:t>
      </w:r>
      <w:r w:rsidR="0051176C" w:rsidRPr="00522F06">
        <w:rPr>
          <w:vertAlign w:val="superscript"/>
        </w:rPr>
        <w:t>o </w:t>
      </w:r>
      <w:r w:rsidR="0051176C" w:rsidRPr="00522F06">
        <w:t>30943/96, § 105, CEDH 2003-VIII).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  <w:r w:rsidR="0051176C" w:rsidRPr="00522F06">
        <w:t>.  En l</w:t>
      </w:r>
      <w:r w:rsidR="00522F06">
        <w:t>’</w:t>
      </w:r>
      <w:r w:rsidR="0051176C" w:rsidRPr="00522F06">
        <w:t>espèce et compte tenu des documents en sa possession et des critères susmentionnés, la Cour estime raisonnable d</w:t>
      </w:r>
      <w:r w:rsidR="00522F06">
        <w:t>’</w:t>
      </w:r>
      <w:r w:rsidR="0051176C" w:rsidRPr="00522F06">
        <w:t>allouer 1 000 EUR pour chaque requête au titre des frais et dépens.</w:t>
      </w:r>
    </w:p>
    <w:p w:rsidR="0051176C" w:rsidRPr="00522F06" w:rsidRDefault="0051176C" w:rsidP="0051176C">
      <w:pPr>
        <w:pStyle w:val="ECHRHeading2"/>
        <w:outlineLvl w:val="0"/>
      </w:pPr>
      <w:r w:rsidRPr="00522F06">
        <w:t>C.  Intérêts moratoires</w:t>
      </w:r>
    </w:p>
    <w:p w:rsidR="0051176C" w:rsidRPr="00522F06" w:rsidRDefault="00B140C4" w:rsidP="0051176C">
      <w:pPr>
        <w:pStyle w:val="ECHRPara"/>
      </w:pPr>
      <w:r>
        <w:fldChar w:fldCharType="begin"/>
      </w:r>
      <w:r>
        <w:instrText xml:space="preserve"> SEQ level0 \*arabic </w:instrText>
      </w:r>
      <w: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  <w:r w:rsidR="0051176C" w:rsidRPr="00522F06">
        <w:t>.  La Cour juge approprié de calquer le taux des intérêts moratoires sur le taux d</w:t>
      </w:r>
      <w:r w:rsidR="00522F06">
        <w:t>’</w:t>
      </w:r>
      <w:r w:rsidR="0051176C" w:rsidRPr="00522F06">
        <w:t>intérêt de la facilité de prêt marginal de la Banque centrale européenne majoré de trois points de pourcentage.</w:t>
      </w:r>
    </w:p>
    <w:p w:rsidR="0051176C" w:rsidRPr="00522F06" w:rsidRDefault="0051176C" w:rsidP="0051176C">
      <w:pPr>
        <w:pStyle w:val="ECHRTitle1"/>
      </w:pPr>
      <w:r w:rsidRPr="00522F06">
        <w:t>PAR CES MOTIFS, LA COUR</w:t>
      </w:r>
      <w:r w:rsidRPr="00522F06">
        <w:rPr>
          <w:noProof/>
        </w:rPr>
        <w:t>,</w:t>
      </w:r>
    </w:p>
    <w:p w:rsidR="002E2BD5" w:rsidRPr="00522F06" w:rsidRDefault="0051176C" w:rsidP="0051176C">
      <w:pPr>
        <w:pStyle w:val="JuList"/>
        <w:rPr>
          <w:i/>
        </w:rPr>
      </w:pPr>
      <w:r w:rsidRPr="00522F06">
        <w:t>1.  </w:t>
      </w:r>
      <w:r w:rsidRPr="00522F06">
        <w:rPr>
          <w:i/>
        </w:rPr>
        <w:t xml:space="preserve">Décide </w:t>
      </w:r>
      <w:r w:rsidRPr="00522F06">
        <w:t>de joindre les requêtes</w:t>
      </w:r>
      <w:r w:rsidRPr="00522F06">
        <w:rPr>
          <w:i/>
        </w:rPr>
        <w:t> ;</w:t>
      </w:r>
    </w:p>
    <w:p w:rsidR="0051176C" w:rsidRPr="00522F06" w:rsidRDefault="0051176C" w:rsidP="0051176C">
      <w:pPr>
        <w:pStyle w:val="JuList"/>
        <w:rPr>
          <w:i/>
        </w:rPr>
      </w:pPr>
    </w:p>
    <w:p w:rsidR="0051176C" w:rsidRPr="00522F06" w:rsidRDefault="0051176C" w:rsidP="0051176C">
      <w:pPr>
        <w:pStyle w:val="JuList"/>
      </w:pPr>
      <w:r w:rsidRPr="00522F06">
        <w:rPr>
          <w:i/>
        </w:rPr>
        <w:t>2.</w:t>
      </w:r>
      <w:r w:rsidR="0089224C" w:rsidRPr="00522F06">
        <w:t>  </w:t>
      </w:r>
      <w:r w:rsidRPr="00522F06">
        <w:rPr>
          <w:i/>
        </w:rPr>
        <w:t>Déclare</w:t>
      </w:r>
      <w:r w:rsidRPr="00522F06">
        <w:t xml:space="preserve"> </w:t>
      </w:r>
      <w:r w:rsidRPr="00522F06">
        <w:rPr>
          <w:noProof/>
        </w:rPr>
        <w:t>les requêtes recevables</w:t>
      </w:r>
      <w:r w:rsidRPr="00522F06">
        <w:t xml:space="preserve"> quant au grief tiré de la durée de la procédure et du retard dans le paiement des indemnisations « Pinto » et </w:t>
      </w:r>
      <w:r w:rsidRPr="00522F06">
        <w:rPr>
          <w:noProof/>
        </w:rPr>
        <w:t>irrecevables</w:t>
      </w:r>
      <w:r w:rsidRPr="00522F06">
        <w:t xml:space="preserve"> pour le surplus ;</w:t>
      </w:r>
    </w:p>
    <w:p w:rsidR="0051176C" w:rsidRPr="00522F06" w:rsidRDefault="0051176C" w:rsidP="0051176C">
      <w:pPr>
        <w:pStyle w:val="JuList"/>
      </w:pPr>
    </w:p>
    <w:p w:rsidR="0051176C" w:rsidRPr="00522F06" w:rsidRDefault="0051176C" w:rsidP="0051176C">
      <w:pPr>
        <w:pStyle w:val="JuList"/>
      </w:pPr>
      <w:r w:rsidRPr="00522F06">
        <w:t>3.  </w:t>
      </w:r>
      <w:r w:rsidRPr="00522F06">
        <w:rPr>
          <w:i/>
        </w:rPr>
        <w:t>Dit</w:t>
      </w:r>
      <w:r w:rsidRPr="00522F06">
        <w:t xml:space="preserve"> qu</w:t>
      </w:r>
      <w:r w:rsidR="00522F06">
        <w:t>’</w:t>
      </w:r>
      <w:r w:rsidRPr="00522F06">
        <w:t xml:space="preserve">il y a eu violation des articles 6 § 1 </w:t>
      </w:r>
      <w:r w:rsidR="00152E76" w:rsidRPr="00522F06">
        <w:t xml:space="preserve">de la Convention  </w:t>
      </w:r>
      <w:r w:rsidRPr="00522F06">
        <w:t>et 1 du Protocole n</w:t>
      </w:r>
      <w:r w:rsidR="002E2BD5" w:rsidRPr="00522F06">
        <w:rPr>
          <w:vertAlign w:val="superscript"/>
        </w:rPr>
        <w:t>o</w:t>
      </w:r>
      <w:r w:rsidRPr="00522F06">
        <w:t xml:space="preserve"> 1;</w:t>
      </w:r>
    </w:p>
    <w:p w:rsidR="0051176C" w:rsidRPr="00522F06" w:rsidRDefault="0051176C" w:rsidP="0051176C">
      <w:pPr>
        <w:pStyle w:val="JuList"/>
        <w:rPr>
          <w:noProof/>
        </w:rPr>
      </w:pPr>
    </w:p>
    <w:p w:rsidR="0051176C" w:rsidRPr="00522F06" w:rsidRDefault="0051176C" w:rsidP="0051176C">
      <w:pPr>
        <w:pStyle w:val="JuList"/>
      </w:pPr>
      <w:r w:rsidRPr="00522F06">
        <w:t>4.  </w:t>
      </w:r>
      <w:r w:rsidRPr="00522F06">
        <w:rPr>
          <w:i/>
        </w:rPr>
        <w:t>Dit</w:t>
      </w:r>
      <w:r w:rsidRPr="00522F06">
        <w:t xml:space="preserve"> que l</w:t>
      </w:r>
      <w:r w:rsidR="00522F06">
        <w:t>’</w:t>
      </w:r>
      <w:r w:rsidRPr="00522F06">
        <w:t xml:space="preserve">Etat défendeur doit verser </w:t>
      </w:r>
      <w:r w:rsidRPr="00522F06">
        <w:rPr>
          <w:noProof/>
        </w:rPr>
        <w:t>aux requérants</w:t>
      </w:r>
      <w:r w:rsidRPr="00522F06">
        <w:t>, dans les trois mois,</w:t>
      </w:r>
    </w:p>
    <w:p w:rsidR="0051176C" w:rsidRPr="00522F06" w:rsidRDefault="0051176C" w:rsidP="0051176C">
      <w:pPr>
        <w:pStyle w:val="JuLista"/>
        <w:ind w:left="426"/>
      </w:pPr>
    </w:p>
    <w:p w:rsidR="0051176C" w:rsidRPr="00522F06" w:rsidRDefault="0051176C" w:rsidP="0051176C">
      <w:pPr>
        <w:pStyle w:val="JuLista"/>
        <w:ind w:left="426"/>
      </w:pPr>
      <w:r w:rsidRPr="00522F06">
        <w:t>a)  les sommes suivantes, plus tout montant pouvant être dû à titre d</w:t>
      </w:r>
      <w:r w:rsidR="00522F06">
        <w:t>’</w:t>
      </w:r>
      <w:r w:rsidRPr="00522F06">
        <w:t>impôt par les requérants,  à titre de dommage moral :</w:t>
      </w:r>
    </w:p>
    <w:p w:rsidR="0051176C" w:rsidRPr="00522F06" w:rsidRDefault="0051176C" w:rsidP="0051176C">
      <w:pPr>
        <w:pStyle w:val="JuLista"/>
        <w:ind w:firstLine="80"/>
      </w:pP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i.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16412</w:t>
      </w:r>
      <w:r w:rsidRPr="00522F06">
        <w:rPr>
          <w:b/>
          <w:color w:val="000000"/>
          <w:szCs w:val="24"/>
        </w:rPr>
        <w:t>/03</w:t>
      </w:r>
      <w:r w:rsidRPr="00522F06">
        <w:rPr>
          <w:color w:val="000000"/>
          <w:szCs w:val="24"/>
        </w:rPr>
        <w:t xml:space="preserve"> </w:t>
      </w:r>
      <w:r w:rsidRPr="00522F06">
        <w:rPr>
          <w:szCs w:val="24"/>
        </w:rPr>
        <w:t>: </w:t>
      </w:r>
      <w:r w:rsidRPr="00522F06">
        <w:t xml:space="preserve">2 300 EUR (deux mille trois cents euros)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ii.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16413/03 </w:t>
      </w:r>
      <w:r w:rsidRPr="00522F06">
        <w:rPr>
          <w:szCs w:val="24"/>
        </w:rPr>
        <w:t>: </w:t>
      </w:r>
      <w:r w:rsidRPr="00522F06">
        <w:t xml:space="preserve">2 600 EUR (deux mille six cents euros)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iii.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16414/03 </w:t>
      </w:r>
      <w:r w:rsidRPr="00522F06">
        <w:rPr>
          <w:szCs w:val="24"/>
        </w:rPr>
        <w:t>: </w:t>
      </w:r>
      <w:r w:rsidRPr="00522F06">
        <w:t xml:space="preserve">4 900 EUR (quatre mille neuf cents euros)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iv.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16415/03</w:t>
      </w:r>
      <w:r w:rsidRPr="00522F06">
        <w:rPr>
          <w:szCs w:val="24"/>
        </w:rPr>
        <w:t xml:space="preserve"> : </w:t>
      </w:r>
      <w:r w:rsidRPr="00522F06">
        <w:t>3 000 EUR (trois mille euros)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v.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16417/03</w:t>
      </w:r>
      <w:r w:rsidRPr="00522F06">
        <w:rPr>
          <w:szCs w:val="24"/>
        </w:rPr>
        <w:t xml:space="preserve"> : </w:t>
      </w:r>
      <w:r w:rsidRPr="00522F06">
        <w:t xml:space="preserve">7 550 EUR (sept mille cinq cent cinquante euros)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vi.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16418/03</w:t>
      </w:r>
      <w:r w:rsidRPr="00522F06">
        <w:rPr>
          <w:szCs w:val="24"/>
        </w:rPr>
        <w:t xml:space="preserve"> : </w:t>
      </w:r>
      <w:r w:rsidRPr="00522F06">
        <w:t xml:space="preserve">4 100 EUR (quatre mille cent euros)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vii.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22294/03</w:t>
      </w:r>
      <w:r w:rsidRPr="00522F06">
        <w:rPr>
          <w:szCs w:val="24"/>
        </w:rPr>
        <w:t xml:space="preserve"> : </w:t>
      </w:r>
      <w:r w:rsidRPr="00522F06">
        <w:t xml:space="preserve">10 450 EUR (dix mille quatre cent cinquante euros), somme globale à verser conjointement aux requérants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viii.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22354/03</w:t>
      </w:r>
      <w:r w:rsidRPr="00522F06">
        <w:rPr>
          <w:szCs w:val="24"/>
        </w:rPr>
        <w:t xml:space="preserve"> : </w:t>
      </w:r>
      <w:r w:rsidRPr="00522F06">
        <w:t xml:space="preserve">6 150 EUR (six mille cent cinquante euros)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ix.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22354/03</w:t>
      </w:r>
      <w:r w:rsidRPr="00522F06">
        <w:rPr>
          <w:szCs w:val="24"/>
        </w:rPr>
        <w:t xml:space="preserve"> : </w:t>
      </w:r>
      <w:r w:rsidRPr="00522F06">
        <w:t xml:space="preserve">3 700 EUR (trois mille sept cents euros), somme globale à verser conjointement aux requérants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x.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22354/03</w:t>
      </w:r>
      <w:r w:rsidRPr="00522F06">
        <w:rPr>
          <w:szCs w:val="24"/>
        </w:rPr>
        <w:t xml:space="preserve"> : </w:t>
      </w:r>
      <w:r w:rsidRPr="00522F06">
        <w:t xml:space="preserve">11 700 EUR (onze mille sept cents euros) </w:t>
      </w:r>
      <w:r w:rsidRPr="00522F06">
        <w:rPr>
          <w:szCs w:val="24"/>
        </w:rPr>
        <w:t>;</w:t>
      </w:r>
    </w:p>
    <w:p w:rsidR="0051176C" w:rsidRPr="00522F06" w:rsidRDefault="0051176C" w:rsidP="0051176C">
      <w:pPr>
        <w:pStyle w:val="JuListi"/>
        <w:tabs>
          <w:tab w:val="left" w:pos="1276"/>
        </w:tabs>
        <w:rPr>
          <w:szCs w:val="24"/>
        </w:rPr>
      </w:pPr>
      <w:r w:rsidRPr="00522F06">
        <w:rPr>
          <w:szCs w:val="24"/>
        </w:rPr>
        <w:t>xi.</w:t>
      </w:r>
      <w:r w:rsidRPr="00522F06">
        <w:rPr>
          <w:b/>
          <w:szCs w:val="24"/>
        </w:rPr>
        <w:tab/>
        <w:t>n</w:t>
      </w:r>
      <w:r w:rsidRPr="00522F06">
        <w:rPr>
          <w:b/>
          <w:szCs w:val="24"/>
          <w:vertAlign w:val="superscript"/>
        </w:rPr>
        <w:t>o</w:t>
      </w:r>
      <w:r w:rsidRPr="00522F06">
        <w:rPr>
          <w:b/>
          <w:szCs w:val="24"/>
        </w:rPr>
        <w:t xml:space="preserve"> 22354/03</w:t>
      </w:r>
      <w:r w:rsidRPr="00522F06">
        <w:rPr>
          <w:szCs w:val="24"/>
        </w:rPr>
        <w:t xml:space="preserve"> : </w:t>
      </w:r>
      <w:r w:rsidRPr="00522F06">
        <w:t>4 900 EUR (quatre mille neuf cents euros).</w:t>
      </w:r>
    </w:p>
    <w:p w:rsidR="0051176C" w:rsidRPr="00522F06" w:rsidRDefault="0051176C" w:rsidP="0051176C">
      <w:pPr>
        <w:pStyle w:val="ECHRPara"/>
        <w:ind w:left="426" w:firstLine="0"/>
      </w:pPr>
    </w:p>
    <w:p w:rsidR="0051176C" w:rsidRPr="00522F06" w:rsidRDefault="0051176C" w:rsidP="0051176C">
      <w:pPr>
        <w:pStyle w:val="ECHRPara"/>
      </w:pPr>
      <w:r w:rsidRPr="00522F06">
        <w:rPr>
          <w:rStyle w:val="JuListaChar"/>
        </w:rPr>
        <w:t>b)</w:t>
      </w:r>
      <w:r w:rsidR="0089224C" w:rsidRPr="00522F06">
        <w:t>  </w:t>
      </w:r>
      <w:r w:rsidRPr="00522F06">
        <w:rPr>
          <w:rStyle w:val="JuListaChar"/>
        </w:rPr>
        <w:t>1 000 EUR (mille euros) pour les frais et dépens, pour chaque requête, plus tout</w:t>
      </w:r>
      <w:r w:rsidRPr="00522F06">
        <w:t xml:space="preserve"> montant pouvant être dû à titre d</w:t>
      </w:r>
      <w:r w:rsidR="00522F06">
        <w:t>’</w:t>
      </w:r>
      <w:r w:rsidRPr="00522F06">
        <w:t>impôt par les requérants ;</w:t>
      </w:r>
    </w:p>
    <w:p w:rsidR="0051176C" w:rsidRPr="00522F06" w:rsidRDefault="0051176C" w:rsidP="0051176C">
      <w:pPr>
        <w:pStyle w:val="ECHRPara"/>
      </w:pPr>
    </w:p>
    <w:p w:rsidR="0051176C" w:rsidRPr="00522F06" w:rsidRDefault="0051176C" w:rsidP="0051176C">
      <w:pPr>
        <w:pStyle w:val="ECHRPara"/>
      </w:pPr>
      <w:r w:rsidRPr="00522F06">
        <w:t>c)  qu</w:t>
      </w:r>
      <w:r w:rsidR="00522F06">
        <w:t>’</w:t>
      </w:r>
      <w:r w:rsidRPr="00522F06">
        <w:t>à compter de l</w:t>
      </w:r>
      <w:r w:rsidR="00522F06">
        <w:t>’</w:t>
      </w:r>
      <w:r w:rsidRPr="00522F06">
        <w:t>expiration dudit délai et jusqu</w:t>
      </w:r>
      <w:r w:rsidR="00522F06">
        <w:t>’</w:t>
      </w:r>
      <w:r w:rsidRPr="00522F06">
        <w:t>au versement, ces montants seront à majorer d</w:t>
      </w:r>
      <w:r w:rsidR="00522F06">
        <w:t>’</w:t>
      </w:r>
      <w:r w:rsidRPr="00522F06">
        <w:t>un intérêt simple à un taux égal à celui de la facilité de prêt marginal de la Banque centrale européenne applicable pendant cette période, augmenté de trois points de pourcentage ;</w:t>
      </w:r>
    </w:p>
    <w:p w:rsidR="0051176C" w:rsidRPr="00522F06" w:rsidRDefault="0051176C" w:rsidP="0051176C">
      <w:pPr>
        <w:pStyle w:val="JuLista"/>
      </w:pPr>
    </w:p>
    <w:p w:rsidR="0051176C" w:rsidRPr="00522F06" w:rsidRDefault="0051176C" w:rsidP="0051176C">
      <w:pPr>
        <w:pStyle w:val="JuList"/>
      </w:pPr>
      <w:r w:rsidRPr="00522F06">
        <w:t>5.  </w:t>
      </w:r>
      <w:r w:rsidRPr="00522F06">
        <w:rPr>
          <w:i/>
        </w:rPr>
        <w:t>Rejette</w:t>
      </w:r>
      <w:r w:rsidRPr="00522F06">
        <w:t xml:space="preserve"> la demande de satisfaction équitable pour le surplus.</w:t>
      </w:r>
    </w:p>
    <w:p w:rsidR="0051176C" w:rsidRPr="00522F06" w:rsidRDefault="0051176C" w:rsidP="0051176C">
      <w:pPr>
        <w:pStyle w:val="JuParaLast"/>
      </w:pPr>
      <w:r w:rsidRPr="00522F06">
        <w:t xml:space="preserve">Fait en français, puis communiqué par écrit le </w:t>
      </w:r>
      <w:r w:rsidR="0068692C" w:rsidRPr="00522F06">
        <w:t>10 décembre 2013</w:t>
      </w:r>
      <w:r w:rsidRPr="00522F06">
        <w:t>, en application de l</w:t>
      </w:r>
      <w:r w:rsidR="00522F06">
        <w:t>’</w:t>
      </w:r>
      <w:r w:rsidRPr="00522F06">
        <w:t>article 77 §§ 2 et 3 du règlement.</w:t>
      </w:r>
    </w:p>
    <w:p w:rsidR="0051176C" w:rsidRPr="00522F06" w:rsidRDefault="0051176C" w:rsidP="0051176C">
      <w:pPr>
        <w:pStyle w:val="JuSigned"/>
        <w:keepNext/>
        <w:keepLines/>
        <w:tabs>
          <w:tab w:val="clear" w:pos="851"/>
          <w:tab w:val="center" w:pos="993"/>
        </w:tabs>
        <w:rPr>
          <w:noProof/>
        </w:rPr>
      </w:pPr>
      <w:r w:rsidRPr="00522F06">
        <w:rPr>
          <w:noProof/>
        </w:rPr>
        <w:tab/>
        <w:t>Seçkin Erel</w:t>
      </w:r>
      <w:r w:rsidRPr="00522F06">
        <w:tab/>
      </w:r>
      <w:r w:rsidRPr="00522F06">
        <w:rPr>
          <w:noProof/>
        </w:rPr>
        <w:t>Peer Lorenzen</w:t>
      </w:r>
      <w:r w:rsidRPr="00522F06">
        <w:br/>
      </w:r>
      <w:r w:rsidRPr="00522F06">
        <w:tab/>
      </w:r>
      <w:r w:rsidRPr="00522F06">
        <w:rPr>
          <w:noProof/>
        </w:rPr>
        <w:t>Greffier adjoint f.f.</w:t>
      </w:r>
      <w:r w:rsidRPr="00522F06">
        <w:tab/>
      </w:r>
      <w:r w:rsidRPr="00522F06">
        <w:rPr>
          <w:noProof/>
        </w:rPr>
        <w:t>Président</w:t>
      </w:r>
    </w:p>
    <w:p w:rsidR="0051176C" w:rsidRPr="00522F06" w:rsidRDefault="0051176C" w:rsidP="0051176C">
      <w:pPr>
        <w:pStyle w:val="JuParaLast"/>
      </w:pPr>
    </w:p>
    <w:p w:rsidR="0051176C" w:rsidRPr="00522F06" w:rsidRDefault="0051176C" w:rsidP="0051176C">
      <w:pPr>
        <w:pStyle w:val="ECHRPara"/>
        <w:sectPr w:rsidR="0051176C" w:rsidRPr="00522F06" w:rsidSect="00CE762D">
          <w:headerReference w:type="even" r:id="rId15"/>
          <w:headerReference w:type="default" r:id="rId16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</w:sectPr>
      </w:pPr>
    </w:p>
    <w:p w:rsidR="0051176C" w:rsidRPr="00522F06" w:rsidRDefault="0051176C" w:rsidP="0051176C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522F06">
        <w:rPr>
          <w:sz w:val="40"/>
          <w:szCs w:val="40"/>
        </w:rPr>
        <w:t>ANNEXE</w:t>
      </w:r>
    </w:p>
    <w:p w:rsidR="0051176C" w:rsidRPr="00522F06" w:rsidRDefault="0051176C" w:rsidP="0051176C">
      <w:pPr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51176C" w:rsidRPr="00522F06" w:rsidRDefault="0051176C" w:rsidP="0051176C">
      <w:pPr>
        <w:autoSpaceDE w:val="0"/>
        <w:autoSpaceDN w:val="0"/>
        <w:adjustRightInd w:val="0"/>
        <w:jc w:val="center"/>
        <w:rPr>
          <w:color w:val="0000FF"/>
          <w:sz w:val="22"/>
        </w:rPr>
      </w:pPr>
    </w:p>
    <w:tbl>
      <w:tblPr>
        <w:tblW w:w="14021" w:type="dxa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1448"/>
        <w:gridCol w:w="4400"/>
        <w:gridCol w:w="1488"/>
        <w:gridCol w:w="2377"/>
        <w:gridCol w:w="2094"/>
      </w:tblGrid>
      <w:tr w:rsidR="0051176C" w:rsidRPr="00522F06" w:rsidTr="00CE762D">
        <w:tc>
          <w:tcPr>
            <w:tcW w:w="2214" w:type="dxa"/>
            <w:vMerge w:val="restart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6"/>
                <w:szCs w:val="26"/>
              </w:rPr>
            </w:pPr>
            <w:r w:rsidRPr="00522F06">
              <w:rPr>
                <w:b/>
                <w:sz w:val="26"/>
                <w:szCs w:val="26"/>
              </w:rPr>
              <w:t>Requêtes/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6"/>
                <w:szCs w:val="26"/>
              </w:rPr>
            </w:pPr>
            <w:r w:rsidRPr="00522F06">
              <w:rPr>
                <w:b/>
                <w:sz w:val="26"/>
                <w:szCs w:val="26"/>
              </w:rPr>
              <w:t>Détails requérant(s)</w:t>
            </w:r>
          </w:p>
        </w:tc>
        <w:tc>
          <w:tcPr>
            <w:tcW w:w="5848" w:type="dxa"/>
            <w:gridSpan w:val="2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6"/>
                <w:szCs w:val="26"/>
              </w:rPr>
            </w:pPr>
            <w:r w:rsidRPr="00522F06">
              <w:rPr>
                <w:b/>
                <w:sz w:val="26"/>
                <w:szCs w:val="26"/>
              </w:rPr>
              <w:t>Procédure Principale</w:t>
            </w:r>
          </w:p>
        </w:tc>
        <w:tc>
          <w:tcPr>
            <w:tcW w:w="5959" w:type="dxa"/>
            <w:gridSpan w:val="3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6"/>
                <w:szCs w:val="26"/>
              </w:rPr>
            </w:pPr>
            <w:r w:rsidRPr="00522F06">
              <w:rPr>
                <w:b/>
                <w:sz w:val="26"/>
                <w:szCs w:val="26"/>
              </w:rPr>
              <w:t>Procédure « Pinto »</w:t>
            </w:r>
          </w:p>
        </w:tc>
      </w:tr>
      <w:tr w:rsidR="0051176C" w:rsidRPr="00522F06" w:rsidTr="00CE762D">
        <w:tc>
          <w:tcPr>
            <w:tcW w:w="2214" w:type="dxa"/>
            <w:vMerge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Durée globale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Informations complémentaires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Autorité judiciaire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Date d</w:t>
            </w:r>
            <w:r w:rsidR="00522F06">
              <w:rPr>
                <w:b/>
                <w:sz w:val="22"/>
              </w:rPr>
              <w:t>’</w:t>
            </w:r>
            <w:r w:rsidRPr="00522F06">
              <w:rPr>
                <w:b/>
                <w:sz w:val="22"/>
              </w:rPr>
              <w:t>introduction 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Dépôt décision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Sommes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2"/>
              </w:rPr>
            </w:pPr>
            <w:r w:rsidRPr="00522F06">
              <w:rPr>
                <w:b/>
                <w:sz w:val="22"/>
              </w:rPr>
              <w:t>Accordées / (non encore payées à la) date des dernières informations</w:t>
            </w: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color w:val="000000"/>
                <w:sz w:val="20"/>
                <w:lang w:val="it-IT"/>
              </w:rPr>
            </w:pPr>
            <w:r w:rsidRPr="00522F06">
              <w:rPr>
                <w:b/>
                <w:color w:val="000000"/>
                <w:sz w:val="20"/>
              </w:rPr>
              <w:t>16412/03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color w:val="000000"/>
                <w:sz w:val="20"/>
                <w:lang w:val="it-IT"/>
              </w:rPr>
            </w:pPr>
            <w:r w:rsidRPr="00522F06">
              <w:rPr>
                <w:b/>
                <w:color w:val="000000"/>
                <w:sz w:val="20"/>
                <w:lang w:val="it-IT"/>
              </w:rPr>
              <w:t>Limata c. Italie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11/05/2000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color w:val="000000"/>
                <w:sz w:val="20"/>
                <w:lang w:val="it-IT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Carlo Alberto LIMATA, ressortissant italien, né en 1945, résidant à Montesarchio (Bénévent)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7 ans et 2 mois 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Mutation du lieu du travail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Juge d</w:t>
            </w:r>
            <w:r w:rsidR="00522F06">
              <w:rPr>
                <w:color w:val="000000"/>
                <w:sz w:val="20"/>
              </w:rPr>
              <w:t>’</w:t>
            </w:r>
            <w:r w:rsidRPr="00522F06">
              <w:rPr>
                <w:color w:val="000000"/>
                <w:sz w:val="20"/>
              </w:rPr>
              <w:t>instance de Bénévent</w:t>
            </w:r>
            <w:r w:rsidRPr="00522F06">
              <w:rPr>
                <w:color w:val="000000"/>
                <w:sz w:val="20"/>
              </w:rPr>
              <w:br/>
              <w:t>(n. R.G. 4529/92)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procédure: </w:t>
            </w:r>
            <w:r w:rsidRPr="00522F06">
              <w:rPr>
                <w:b/>
                <w:color w:val="000000"/>
                <w:sz w:val="20"/>
                <w:u w:val="single"/>
              </w:rPr>
              <w:t>4 février 1992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8 avril 1999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N.R. 6907/01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</w:t>
            </w:r>
            <w:r w:rsidRPr="00522F06">
              <w:rPr>
                <w:sz w:val="20"/>
                <w:vertAlign w:val="superscript"/>
              </w:rPr>
              <w:t>er</w:t>
            </w:r>
            <w:r w:rsidRPr="00522F06">
              <w:rPr>
                <w:sz w:val="20"/>
              </w:rPr>
              <w:t xml:space="preserve">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5 juin 2002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1 500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12 novembre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522F06">
              <w:rPr>
                <w:b/>
                <w:color w:val="000000"/>
                <w:sz w:val="20"/>
                <w:lang w:val="it-IT"/>
              </w:rPr>
              <w:t>16413/03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522F06">
              <w:rPr>
                <w:b/>
                <w:sz w:val="20"/>
                <w:lang w:val="it-IT"/>
              </w:rPr>
              <w:t>Galdiero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05/08/1999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  <w:lang w:val="it-IT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Gennaro GALDIERO, ressortissant italien, né en 1937, résidant à Giugliano (Naples)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17 ans et 4 mois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pour trois degrés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Indemnité de fin de contrat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Juge d</w:t>
            </w:r>
            <w:r w:rsidR="00522F06">
              <w:rPr>
                <w:color w:val="000000"/>
                <w:sz w:val="20"/>
              </w:rPr>
              <w:t>’</w:t>
            </w:r>
            <w:r w:rsidRPr="00522F06">
              <w:rPr>
                <w:color w:val="000000"/>
                <w:sz w:val="20"/>
              </w:rPr>
              <w:t>instance de Marano (Naples)</w:t>
            </w:r>
            <w:r w:rsidRPr="00522F06">
              <w:rPr>
                <w:color w:val="000000"/>
                <w:sz w:val="20"/>
              </w:rPr>
              <w:br/>
              <w:t>(n. R.G. 989/91)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Naples</w:t>
            </w:r>
            <w:r w:rsidRPr="00522F06">
              <w:rPr>
                <w:color w:val="000000"/>
                <w:sz w:val="20"/>
              </w:rPr>
              <w:br/>
              <w:t>(n. R.G. 40237/84)</w:t>
            </w:r>
          </w:p>
          <w:p w:rsidR="0051176C" w:rsidRPr="00522F06" w:rsidRDefault="0051176C" w:rsidP="002E2BD5">
            <w:pPr>
              <w:pStyle w:val="ECHRPara"/>
              <w:numPr>
                <w:ilvl w:val="1"/>
                <w:numId w:val="19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Cour de cassation</w:t>
            </w:r>
            <w:r w:rsidRPr="00522F06">
              <w:rPr>
                <w:color w:val="000000"/>
                <w:sz w:val="20"/>
              </w:rPr>
              <w:br/>
              <w:t>(n. R.G. 9476/88)</w:t>
            </w:r>
          </w:p>
          <w:p w:rsidR="0051176C" w:rsidRPr="00522F06" w:rsidRDefault="0051176C" w:rsidP="002E2BD5">
            <w:pPr>
              <w:pStyle w:val="ECHRPara"/>
              <w:numPr>
                <w:ilvl w:val="1"/>
                <w:numId w:val="19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Bénévent (juge de renvoi)</w:t>
            </w:r>
            <w:r w:rsidRPr="00522F06">
              <w:rPr>
                <w:color w:val="000000"/>
                <w:sz w:val="20"/>
              </w:rPr>
              <w:br/>
              <w:t>(n. R.G. 179/92)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26 novembre 1981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30 mars 1999</w:t>
            </w: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</w:t>
            </w:r>
            <w:r w:rsidRPr="00522F06">
              <w:rPr>
                <w:sz w:val="20"/>
                <w:vertAlign w:val="superscript"/>
              </w:rPr>
              <w:t>er</w:t>
            </w:r>
            <w:r w:rsidRPr="00522F06">
              <w:rPr>
                <w:sz w:val="20"/>
              </w:rPr>
              <w:t xml:space="preserve">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3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7 500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12 novembre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color w:val="000000"/>
                <w:sz w:val="20"/>
              </w:rPr>
              <w:t>16414/03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sz w:val="20"/>
              </w:rPr>
              <w:t>Martignetti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10/09/1999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bookmarkStart w:id="13" w:name="OLE_LINK13"/>
            <w:bookmarkStart w:id="14" w:name="OLE_LINK14"/>
            <w:r w:rsidRPr="00522F06">
              <w:rPr>
                <w:sz w:val="20"/>
              </w:rPr>
              <w:t>Nicola MARTIGNETTI, ressortissant italien, né en 1945, résidant à Bénévent</w:t>
            </w:r>
            <w:bookmarkEnd w:id="13"/>
            <w:bookmarkEnd w:id="14"/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10 ans et 5 mois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Droit au dédommagement suite à un accident routier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Bénévent</w:t>
            </w:r>
            <w:r w:rsidRPr="00522F06">
              <w:rPr>
                <w:color w:val="000000"/>
                <w:sz w:val="20"/>
              </w:rPr>
              <w:br/>
              <w:t>(n. R.G. 1584/92)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16 mai 1992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8 octobre 2002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</w:t>
            </w:r>
            <w:r w:rsidRPr="00522F06">
              <w:rPr>
                <w:sz w:val="20"/>
                <w:vertAlign w:val="superscript"/>
              </w:rPr>
              <w:t>er</w:t>
            </w:r>
            <w:r w:rsidRPr="00522F06">
              <w:rPr>
                <w:sz w:val="20"/>
              </w:rPr>
              <w:t xml:space="preserve">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3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1 600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12 novembre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color w:val="000000"/>
                <w:sz w:val="20"/>
              </w:rPr>
              <w:t>16415/03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sz w:val="20"/>
              </w:rPr>
              <w:t>Barbieri c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05/08/1999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Salvatore BARBIERI, ressortissant italien, né en 1949, résidant à Naples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9 ans pour deux degrés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Droit au titre et au grade de fonctionnaire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Juge d</w:t>
            </w:r>
            <w:r w:rsidR="00522F06">
              <w:rPr>
                <w:color w:val="000000"/>
                <w:sz w:val="20"/>
              </w:rPr>
              <w:t>’</w:t>
            </w:r>
            <w:r w:rsidRPr="00522F06">
              <w:rPr>
                <w:color w:val="000000"/>
                <w:sz w:val="20"/>
              </w:rPr>
              <w:t>instance de Bénévent</w:t>
            </w:r>
            <w:r w:rsidRPr="00522F06">
              <w:rPr>
                <w:color w:val="000000"/>
                <w:sz w:val="20"/>
              </w:rPr>
              <w:br/>
              <w:t>(n. R.G. 300/90)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Naples</w:t>
            </w:r>
            <w:r w:rsidRPr="00522F06">
              <w:rPr>
                <w:color w:val="000000"/>
                <w:sz w:val="20"/>
              </w:rPr>
              <w:br/>
              <w:t>(n. R.G. 44944/94)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3 février 1990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19 février 1999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</w:t>
            </w:r>
            <w:r w:rsidRPr="00522F06">
              <w:rPr>
                <w:sz w:val="20"/>
                <w:vertAlign w:val="superscript"/>
              </w:rPr>
              <w:t>er</w:t>
            </w:r>
            <w:r w:rsidRPr="00522F06">
              <w:rPr>
                <w:sz w:val="20"/>
              </w:rPr>
              <w:t xml:space="preserve">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30 mai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800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12 novembre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color w:val="000000"/>
                <w:sz w:val="20"/>
                <w:lang w:val="it-IT"/>
              </w:rPr>
            </w:pPr>
            <w:r w:rsidRPr="00522F06">
              <w:rPr>
                <w:b/>
                <w:color w:val="000000"/>
                <w:sz w:val="20"/>
                <w:lang w:val="it-IT"/>
              </w:rPr>
              <w:t>16416/03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color w:val="000000"/>
                <w:sz w:val="20"/>
                <w:lang w:val="it-IT"/>
              </w:rPr>
            </w:pPr>
            <w:r w:rsidRPr="00522F06">
              <w:rPr>
                <w:b/>
                <w:color w:val="000000"/>
                <w:sz w:val="20"/>
                <w:lang w:val="it-IT"/>
              </w:rPr>
              <w:t>Limata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10/05/2000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</w:rPr>
            </w:pPr>
            <w:r w:rsidRPr="00522F06">
              <w:rPr>
                <w:sz w:val="20"/>
              </w:rPr>
              <w:t>Carlo Alberto LIMATA, ressortissant italien, né en 1945, résidant à Montesarchio (Bénévent)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11 ans et 7 mois 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Droit au titre et au grade de fonctionnaire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Juge d</w:t>
            </w:r>
            <w:r w:rsidR="00522F06">
              <w:rPr>
                <w:color w:val="000000"/>
                <w:sz w:val="20"/>
              </w:rPr>
              <w:t>’</w:t>
            </w:r>
            <w:r w:rsidRPr="00522F06">
              <w:rPr>
                <w:color w:val="000000"/>
                <w:sz w:val="20"/>
              </w:rPr>
              <w:t>instance de Bénévent</w:t>
            </w:r>
            <w:r w:rsidRPr="00522F06">
              <w:rPr>
                <w:color w:val="000000"/>
                <w:sz w:val="20"/>
              </w:rPr>
              <w:br/>
              <w:t>(n. R.G. 686/90)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13 mars 1990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8 novembre 2001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11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4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750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12 novembre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color w:val="000000"/>
                <w:sz w:val="20"/>
              </w:rPr>
              <w:t>16417/03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sz w:val="20"/>
              </w:rPr>
              <w:t>Melillo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20/09/1999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bookmarkStart w:id="15" w:name="OLE_LINK15"/>
            <w:bookmarkStart w:id="16" w:name="OLE_LINK16"/>
            <w:r w:rsidRPr="00522F06">
              <w:rPr>
                <w:sz w:val="20"/>
              </w:rPr>
              <w:t>Carmine MELILLO, ressortissant italien, né en 1945, résidant à Apollosa (Bénévent)</w:t>
            </w:r>
            <w:bookmarkEnd w:id="15"/>
            <w:bookmarkEnd w:id="16"/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 xml:space="preserve">9 ans et 4 mois pour un degré de juridiction 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Paiement de loyers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Bénévent</w:t>
            </w:r>
            <w:r w:rsidRPr="00522F06">
              <w:rPr>
                <w:color w:val="000000"/>
                <w:sz w:val="20"/>
              </w:rPr>
              <w:br/>
              <w:t>(n. R.G. 3642/92)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5 décembre 1992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11 avril 2002</w:t>
            </w:r>
          </w:p>
          <w:p w:rsidR="0051176C" w:rsidRPr="00522F06" w:rsidRDefault="0051176C" w:rsidP="00CE762D">
            <w:pPr>
              <w:pStyle w:val="ECHRPara"/>
              <w:suppressAutoHyphens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11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3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1 500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12 novembre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522F06">
              <w:rPr>
                <w:b/>
                <w:color w:val="000000"/>
                <w:sz w:val="20"/>
              </w:rPr>
              <w:t>22294/03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522F06">
              <w:rPr>
                <w:b/>
                <w:sz w:val="20"/>
                <w:lang w:val="it-IT"/>
              </w:rPr>
              <w:t>Paolella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11/01/2000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  <w:lang w:val="it-IT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  <w:lang w:val="it-IT"/>
              </w:rPr>
            </w:pPr>
            <w:r w:rsidRPr="00522F06">
              <w:rPr>
                <w:sz w:val="20"/>
                <w:lang w:val="it-IT"/>
              </w:rPr>
              <w:t>Giovanni PAOLELLA, Maria Luigia PAOLELLA et Francesco PAOLELLA, ressortissants italiens, nés respectivement en 1919, 1935 et 1943 résidant à Campolattaro (Bénévent)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18 ans et 10 mois 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2E2BD5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Droit au dédommagement concernant des travaux de surélévation d</w:t>
            </w:r>
            <w:r w:rsidR="00522F06">
              <w:rPr>
                <w:color w:val="000000"/>
                <w:sz w:val="20"/>
              </w:rPr>
              <w:t>’</w:t>
            </w:r>
            <w:r w:rsidRPr="00522F06">
              <w:rPr>
                <w:color w:val="000000"/>
                <w:sz w:val="20"/>
              </w:rPr>
              <w:t>un bâtiment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Bénévent:</w:t>
            </w:r>
            <w:r w:rsidRPr="00522F06">
              <w:rPr>
                <w:color w:val="000000"/>
                <w:sz w:val="20"/>
              </w:rPr>
              <w:br/>
              <w:t>(n. R.G. 1439/84)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14 juin 1984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9 mai 2003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</w:p>
          <w:p w:rsidR="0051176C" w:rsidRPr="00522F06" w:rsidRDefault="0051176C" w:rsidP="00CE762D">
            <w:pPr>
              <w:pStyle w:val="ECHRPara"/>
              <w:suppressAutoHyphens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11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3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 xml:space="preserve"> 3 250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 septembre 2003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color w:val="000000"/>
                <w:sz w:val="20"/>
              </w:rPr>
              <w:t>22351/03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sz w:val="20"/>
              </w:rPr>
              <w:t>Sarracco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05/01/2000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Rosario SARRACCO, ressortissant italien, né en 1945, résidant à Bénévent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10 ans et 9 mois 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2E2BD5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Droit au dédommagement suite à la pollution des puits du requérant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Naples</w:t>
            </w:r>
            <w:r w:rsidRPr="00522F06">
              <w:rPr>
                <w:color w:val="000000"/>
                <w:sz w:val="20"/>
              </w:rPr>
              <w:br/>
              <w:t>(n. R.G. 14272/89)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8 juillet 1989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5 mai 2000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11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4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 xml:space="preserve"> 1 250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 septembre 2003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color w:val="000000"/>
                <w:sz w:val="20"/>
              </w:rPr>
              <w:t>22353/03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sz w:val="20"/>
              </w:rPr>
              <w:t>Ciullo et Sessa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13/04/2001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Ermelinda CIULLO, Giovanni SESSA, Ornella SESSA et Sara SESSA, ressortissants italiens, nés respectivement en 1924, 1952 et 1953 (les deux dernières) résidant à Bénévent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color w:val="000000"/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10 ans et 6 mois 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Indemnité de fin de contrat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Juge d</w:t>
            </w:r>
            <w:r w:rsidR="00522F06">
              <w:rPr>
                <w:color w:val="000000"/>
                <w:sz w:val="20"/>
              </w:rPr>
              <w:t>’</w:t>
            </w:r>
            <w:r w:rsidRPr="00522F06">
              <w:rPr>
                <w:color w:val="000000"/>
                <w:sz w:val="20"/>
              </w:rPr>
              <w:t>instance de Bénévent</w:t>
            </w:r>
            <w:r w:rsidRPr="00522F06">
              <w:rPr>
                <w:color w:val="000000"/>
                <w:sz w:val="20"/>
              </w:rPr>
              <w:br/>
              <w:t>(n. R.G. 1187/90)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28 avril 1990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Dépôt arrêt : </w:t>
            </w:r>
            <w:r w:rsidRPr="00522F06">
              <w:rPr>
                <w:b/>
                <w:color w:val="000000"/>
                <w:sz w:val="20"/>
                <w:u w:val="single"/>
              </w:rPr>
              <w:t>3 novembre 2000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10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31 mai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 xml:space="preserve"> 2 800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12 novembre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522F06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522F06">
              <w:rPr>
                <w:b/>
                <w:color w:val="000000"/>
                <w:sz w:val="20"/>
                <w:lang w:val="it-IT"/>
              </w:rPr>
              <w:t>22354/03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  <w:r w:rsidRPr="00522F06">
              <w:rPr>
                <w:b/>
                <w:sz w:val="20"/>
                <w:lang w:val="it-IT"/>
              </w:rPr>
              <w:t>Fabbricatore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26/01/2000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  <w:lang w:val="it-IT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Vincenzo FABBRICATORE, ressortissant italien, né en 1956, résidant à Pontelandolfo (Bénévent)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20 ans et 10 mois 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Droit au dédommagement suite à un accident routier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Bénévent</w:t>
            </w:r>
            <w:r w:rsidRPr="00522F06">
              <w:rPr>
                <w:color w:val="000000"/>
                <w:sz w:val="20"/>
              </w:rPr>
              <w:br/>
              <w:t>(n. R.G. 1205/83)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10 mai 1983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Date des dernières informations : </w:t>
            </w:r>
            <w:r w:rsidRPr="00522F06">
              <w:rPr>
                <w:b/>
                <w:color w:val="000000"/>
                <w:sz w:val="20"/>
                <w:u w:val="single"/>
              </w:rPr>
              <w:t>15 mars 2004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10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3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 xml:space="preserve"> 2 000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23 février 2004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  <w:tr w:rsidR="0051176C" w:rsidRPr="0075711B" w:rsidTr="00CE762D">
        <w:tc>
          <w:tcPr>
            <w:tcW w:w="2214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sz w:val="20"/>
              </w:rPr>
              <w:t>22355/03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b/>
                <w:sz w:val="20"/>
              </w:rPr>
            </w:pPr>
            <w:r w:rsidRPr="00522F06">
              <w:rPr>
                <w:b/>
                <w:sz w:val="20"/>
              </w:rPr>
              <w:t>Limongelli c. Italie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color w:val="000000"/>
                <w:sz w:val="20"/>
                <w:lang w:val="it-IT"/>
              </w:rPr>
            </w:pPr>
            <w:r w:rsidRPr="00522F06">
              <w:rPr>
                <w:color w:val="000000"/>
                <w:sz w:val="20"/>
                <w:lang w:val="it-IT"/>
              </w:rPr>
              <w:t>Introduite le 17/02/2000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Michele Donato LIMONGELLI, ressortissant italien, né en 1952, résidant à Apice (Bénévent)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10 ans et 8 mois pour un degré de juridiction</w:t>
            </w:r>
          </w:p>
        </w:tc>
        <w:tc>
          <w:tcPr>
            <w:tcW w:w="4400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Objet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Droit au dédommagement suite à une erreur lors d</w:t>
            </w:r>
            <w:r w:rsidR="00522F06">
              <w:rPr>
                <w:color w:val="000000"/>
                <w:sz w:val="20"/>
              </w:rPr>
              <w:t>’</w:t>
            </w:r>
            <w:r w:rsidRPr="00522F06">
              <w:rPr>
                <w:color w:val="000000"/>
                <w:sz w:val="20"/>
              </w:rPr>
              <w:t>une intervention chirurgicale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b/>
                <w:color w:val="000000"/>
                <w:sz w:val="20"/>
                <w:u w:val="single"/>
              </w:rPr>
              <w:t>Autorité judiciaire</w:t>
            </w:r>
            <w:r w:rsidRPr="00522F06">
              <w:rPr>
                <w:color w:val="000000"/>
                <w:sz w:val="20"/>
              </w:rPr>
              <w:t> :</w:t>
            </w:r>
          </w:p>
          <w:p w:rsidR="0051176C" w:rsidRPr="00522F06" w:rsidRDefault="0051176C" w:rsidP="002E2BD5">
            <w:pPr>
              <w:pStyle w:val="ECHRPara"/>
              <w:numPr>
                <w:ilvl w:val="0"/>
                <w:numId w:val="15"/>
              </w:numPr>
              <w:suppressAutoHyphens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>Tribunal de Bénévent</w:t>
            </w:r>
            <w:r w:rsidRPr="00522F06">
              <w:rPr>
                <w:color w:val="000000"/>
                <w:sz w:val="20"/>
              </w:rPr>
              <w:br/>
              <w:t>(n. R.G. 1645/93)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color w:val="000000"/>
                <w:sz w:val="20"/>
              </w:rPr>
            </w:pPr>
            <w:r w:rsidRPr="00522F06">
              <w:rPr>
                <w:color w:val="000000"/>
                <w:sz w:val="20"/>
              </w:rPr>
              <w:t xml:space="preserve">Début de la procédure : </w:t>
            </w:r>
            <w:r w:rsidRPr="00522F06">
              <w:rPr>
                <w:b/>
                <w:color w:val="000000"/>
                <w:sz w:val="20"/>
                <w:u w:val="single"/>
              </w:rPr>
              <w:t>19 mai 1993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color w:val="000000"/>
                <w:sz w:val="20"/>
                <w:u w:val="single"/>
              </w:rPr>
            </w:pPr>
            <w:r w:rsidRPr="00522F06">
              <w:rPr>
                <w:color w:val="000000"/>
                <w:sz w:val="20"/>
              </w:rPr>
              <w:t xml:space="preserve">Date des dernières informations : </w:t>
            </w:r>
            <w:r w:rsidRPr="00522F06">
              <w:rPr>
                <w:b/>
                <w:color w:val="000000"/>
                <w:sz w:val="20"/>
                <w:u w:val="single"/>
              </w:rPr>
              <w:t>10 février 2004</w:t>
            </w:r>
          </w:p>
          <w:p w:rsidR="0051176C" w:rsidRPr="00522F06" w:rsidRDefault="0051176C" w:rsidP="00CE762D">
            <w:pPr>
              <w:pStyle w:val="ECHRPara"/>
              <w:ind w:firstLine="0"/>
              <w:jc w:val="left"/>
              <w:rPr>
                <w:b/>
                <w:sz w:val="20"/>
                <w:u w:val="single"/>
              </w:rPr>
            </w:pPr>
          </w:p>
        </w:tc>
        <w:tc>
          <w:tcPr>
            <w:tcW w:w="1488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Rome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  <w:tc>
          <w:tcPr>
            <w:tcW w:w="2377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11 octobre 2001/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4 juin 2002</w:t>
            </w:r>
          </w:p>
        </w:tc>
        <w:tc>
          <w:tcPr>
            <w:tcW w:w="2094" w:type="dxa"/>
            <w:shd w:val="clear" w:color="auto" w:fill="auto"/>
          </w:tcPr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 xml:space="preserve"> 2 500 EUR/</w:t>
            </w: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  <w:r w:rsidRPr="00522F06">
              <w:rPr>
                <w:sz w:val="20"/>
              </w:rPr>
              <w:t>1 septembre 2003</w:t>
            </w:r>
          </w:p>
          <w:p w:rsidR="0051176C" w:rsidRPr="00522F06" w:rsidRDefault="0051176C" w:rsidP="00CE762D">
            <w:pPr>
              <w:pStyle w:val="ECHRPara"/>
              <w:ind w:firstLine="0"/>
              <w:rPr>
                <w:sz w:val="20"/>
              </w:rPr>
            </w:pPr>
          </w:p>
          <w:p w:rsidR="0051176C" w:rsidRPr="00522F06" w:rsidRDefault="0051176C" w:rsidP="00CE762D">
            <w:pPr>
              <w:pStyle w:val="ECHRPara"/>
              <w:ind w:firstLine="0"/>
              <w:jc w:val="center"/>
              <w:rPr>
                <w:sz w:val="20"/>
              </w:rPr>
            </w:pPr>
          </w:p>
        </w:tc>
      </w:tr>
    </w:tbl>
    <w:p w:rsidR="0051176C" w:rsidRPr="00DA76BE" w:rsidRDefault="0051176C" w:rsidP="0051176C">
      <w:pPr>
        <w:jc w:val="center"/>
      </w:pPr>
    </w:p>
    <w:p w:rsidR="0051176C" w:rsidRPr="00DA76BE" w:rsidRDefault="0051176C" w:rsidP="0051176C"/>
    <w:p w:rsidR="009F1793" w:rsidRPr="000C0EAC" w:rsidRDefault="009F1793">
      <w:pPr>
        <w:pStyle w:val="ECHRPara"/>
      </w:pPr>
    </w:p>
    <w:sectPr w:rsidR="009F1793" w:rsidRPr="000C0EAC" w:rsidSect="00816014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 w:code="9"/>
      <w:pgMar w:top="2274" w:right="2274" w:bottom="2274" w:left="2274" w:header="170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AD" w:rsidRDefault="00F27AAD">
      <w:r>
        <w:separator/>
      </w:r>
    </w:p>
  </w:endnote>
  <w:endnote w:type="continuationSeparator" w:id="0">
    <w:p w:rsidR="00F27AAD" w:rsidRDefault="00F2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E0" w:rsidRDefault="00CE6A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Pr="00150BFA" w:rsidRDefault="00F27AAD" w:rsidP="00CE762D">
    <w:pPr>
      <w:jc w:val="center"/>
    </w:pPr>
    <w:r>
      <w:rPr>
        <w:noProof/>
        <w:lang w:eastAsia="ja-JP"/>
      </w:rPr>
      <w:drawing>
        <wp:inline distT="0" distB="0" distL="0" distR="0" wp14:anchorId="19B8E677" wp14:editId="656E2ADC">
          <wp:extent cx="762002" cy="609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CS6_CO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609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7AAD" w:rsidRDefault="00F27AAD" w:rsidP="005072EA">
    <w:pPr>
      <w:pStyle w:val="ECHRHead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E0" w:rsidRDefault="00CE6A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Default="00F27AAD" w:rsidP="005072EA">
    <w:pPr>
      <w:pStyle w:val="ECHRHead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Default="00F27AAD" w:rsidP="005072EA">
    <w:pPr>
      <w:pStyle w:val="ECHR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AD" w:rsidRDefault="00F27AAD">
      <w:r>
        <w:separator/>
      </w:r>
    </w:p>
  </w:footnote>
  <w:footnote w:type="continuationSeparator" w:id="0">
    <w:p w:rsidR="00F27AAD" w:rsidRDefault="00F2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AE0" w:rsidRDefault="00CE6A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Pr="00A45145" w:rsidRDefault="00F27AAD" w:rsidP="00CE762D">
    <w:pPr>
      <w:jc w:val="center"/>
    </w:pPr>
    <w:r w:rsidRPr="00A45145">
      <w:rPr>
        <w:noProof/>
        <w:lang w:eastAsia="ja-JP"/>
      </w:rPr>
      <w:drawing>
        <wp:inline distT="0" distB="0" distL="0" distR="0" wp14:anchorId="31A2EBBA" wp14:editId="523A1809">
          <wp:extent cx="2943225" cy="1219200"/>
          <wp:effectExtent l="0" t="0" r="9525" b="0"/>
          <wp:docPr id="7" name="Picture 7" descr="R:\1_Graphics&amp;Web\Court_Graphic_Charter\2013\ECHR_Stationery\Documents\Cover_Page\ECHR_CoverpageCS6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\Cover_Page\ECHR_CoverpageCS6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7AAD" w:rsidRDefault="00F27AAD" w:rsidP="005072EA">
    <w:pPr>
      <w:pStyle w:val="ECHR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Pr="007100AD" w:rsidRDefault="00F27AAD" w:rsidP="006E4B5E">
    <w:pPr>
      <w:pStyle w:val="ECHRHeader"/>
    </w:pPr>
    <w:r>
      <w:tab/>
    </w:r>
    <w:r w:rsidRPr="0051176C">
      <w:t>ARRÊT LIMATA</w:t>
    </w:r>
    <w:r>
      <w:t xml:space="preserve"> ET AUTRES</w:t>
    </w:r>
    <w:r w:rsidRPr="0051176C">
      <w:t xml:space="preserve"> c.</w:t>
    </w:r>
    <w:r>
      <w:t xml:space="preserve"> ITALIE</w:t>
    </w:r>
    <w:r w:rsidRPr="007100AD">
      <w:tab/>
    </w:r>
    <w:r>
      <w:rPr>
        <w:rStyle w:val="PageNumber"/>
        <w:lang w:val="en-GB"/>
      </w:rPr>
      <w:fldChar w:fldCharType="begin"/>
    </w:r>
    <w:r w:rsidRPr="006E4B5E">
      <w:rPr>
        <w:rStyle w:val="PageNumber"/>
      </w:rPr>
      <w:instrText xml:space="preserve"> PAGE </w:instrText>
    </w:r>
    <w:r>
      <w:rPr>
        <w:rStyle w:val="PageNumber"/>
        <w:lang w:val="en-GB"/>
      </w:rPr>
      <w:fldChar w:fldCharType="separate"/>
    </w:r>
    <w:r w:rsidR="00B140C4">
      <w:rPr>
        <w:rStyle w:val="PageNumber"/>
        <w:noProof/>
      </w:rPr>
      <w:t>1</w:t>
    </w:r>
    <w:r>
      <w:rPr>
        <w:rStyle w:val="PageNumber"/>
        <w:lang w:val="en-GB"/>
      </w:rPr>
      <w:fldChar w:fldCharType="end"/>
    </w:r>
  </w:p>
  <w:p w:rsidR="00F27AAD" w:rsidRPr="006E4B5E" w:rsidRDefault="00F27AAD">
    <w:pPr>
      <w:pStyle w:val="Head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Pr="0067600D" w:rsidRDefault="00F27AAD" w:rsidP="00CE762D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0C4">
      <w:rPr>
        <w:rStyle w:val="PageNumber"/>
        <w:noProof/>
      </w:rPr>
      <w:t>1</w:t>
    </w:r>
    <w:r>
      <w:rPr>
        <w:rStyle w:val="PageNumber"/>
      </w:rPr>
      <w:fldChar w:fldCharType="end"/>
    </w:r>
    <w:r w:rsidRPr="0067600D">
      <w:rPr>
        <w:rStyle w:val="PageNumber"/>
      </w:rPr>
      <w:tab/>
    </w:r>
    <w:r w:rsidRPr="0051176C">
      <w:t>ARRÊT LIMATA</w:t>
    </w:r>
    <w:r>
      <w:t xml:space="preserve"> ET AUTRES</w:t>
    </w:r>
    <w:r w:rsidRPr="0051176C">
      <w:t xml:space="preserve"> c.</w:t>
    </w:r>
    <w:r>
      <w:t xml:space="preserve"> ITALIE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Pr="0067600D" w:rsidRDefault="00F27AAD" w:rsidP="00CE762D">
    <w:pPr>
      <w:pStyle w:val="ECHRHeader"/>
      <w:jc w:val="right"/>
    </w:pPr>
    <w:r>
      <w:tab/>
    </w:r>
    <w:r w:rsidRPr="0051176C">
      <w:t>ARRÊT LIMATA</w:t>
    </w:r>
    <w:r>
      <w:t xml:space="preserve"> ET AUTRES</w:t>
    </w:r>
    <w:r w:rsidRPr="0051176C">
      <w:t xml:space="preserve"> c.</w:t>
    </w:r>
    <w:r>
      <w:t xml:space="preserve"> ITALIE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140C4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Pr="0051176C" w:rsidRDefault="00F27AAD" w:rsidP="00816014">
    <w:pPr>
      <w:pStyle w:val="ECHRHeader"/>
    </w:pPr>
    <w:r>
      <w:rPr>
        <w:rStyle w:val="PageNumber"/>
        <w:lang w:val="en-GB"/>
      </w:rPr>
      <w:fldChar w:fldCharType="begin"/>
    </w:r>
    <w:r w:rsidRPr="0051176C">
      <w:rPr>
        <w:rStyle w:val="PageNumber"/>
      </w:rPr>
      <w:instrText xml:space="preserve"> PAGE </w:instrText>
    </w:r>
    <w:r>
      <w:rPr>
        <w:rStyle w:val="PageNumber"/>
        <w:lang w:val="en-GB"/>
      </w:rPr>
      <w:fldChar w:fldCharType="separate"/>
    </w:r>
    <w:r w:rsidR="00B140C4">
      <w:rPr>
        <w:rStyle w:val="PageNumber"/>
        <w:noProof/>
      </w:rPr>
      <w:t>1</w:t>
    </w:r>
    <w:r>
      <w:rPr>
        <w:rStyle w:val="PageNumber"/>
        <w:lang w:val="en-GB"/>
      </w:rPr>
      <w:fldChar w:fldCharType="end"/>
    </w:r>
    <w:r w:rsidRPr="0051176C">
      <w:tab/>
    </w:r>
    <w:r>
      <w:tab/>
    </w:r>
    <w:r w:rsidRPr="0051176C">
      <w:t>ARRÊT LIMATA</w:t>
    </w:r>
    <w:r>
      <w:t xml:space="preserve"> ET AUTRES</w:t>
    </w:r>
    <w:r w:rsidRPr="0051176C">
      <w:t xml:space="preserve"> c. ITALIE</w:t>
    </w:r>
  </w:p>
  <w:p w:rsidR="00F27AAD" w:rsidRDefault="00F27AAD" w:rsidP="005072EA">
    <w:pPr>
      <w:pStyle w:val="ECHR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AAD" w:rsidRPr="00CE762D" w:rsidRDefault="00F27AAD" w:rsidP="00816014">
    <w:pPr>
      <w:pStyle w:val="ECHRHeader"/>
      <w:jc w:val="right"/>
    </w:pPr>
    <w:r w:rsidRPr="0051176C">
      <w:t>ARRÊT LIMATA</w:t>
    </w:r>
    <w:r>
      <w:t xml:space="preserve"> ET AUTRES</w:t>
    </w:r>
    <w:r w:rsidRPr="0051176C">
      <w:t xml:space="preserve"> c. ITALIE</w:t>
    </w:r>
    <w:r w:rsidRPr="00CE762D"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lang w:val="en-GB"/>
      </w:rPr>
      <w:fldChar w:fldCharType="begin"/>
    </w:r>
    <w:r w:rsidRPr="0051176C">
      <w:rPr>
        <w:rStyle w:val="PageNumber"/>
      </w:rPr>
      <w:instrText xml:space="preserve"> PAGE </w:instrText>
    </w:r>
    <w:r>
      <w:rPr>
        <w:rStyle w:val="PageNumber"/>
        <w:lang w:val="en-GB"/>
      </w:rPr>
      <w:fldChar w:fldCharType="separate"/>
    </w:r>
    <w:r w:rsidR="00B140C4">
      <w:rPr>
        <w:rStyle w:val="PageNumber"/>
        <w:noProof/>
      </w:rPr>
      <w:t>1</w:t>
    </w:r>
    <w:r>
      <w:rPr>
        <w:rStyle w:val="PageNumber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98DDB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6A8E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289A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F4DF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52F9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286C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FC72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04BE7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B21A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DA51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BD400F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B8A6E54"/>
    <w:multiLevelType w:val="hybridMultilevel"/>
    <w:tmpl w:val="A42216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C46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F75DC0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FBB5211"/>
    <w:multiLevelType w:val="multilevel"/>
    <w:tmpl w:val="040C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2B33995"/>
    <w:multiLevelType w:val="hybridMultilevel"/>
    <w:tmpl w:val="10D05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B40E2A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305F90"/>
    <w:multiLevelType w:val="multilevel"/>
    <w:tmpl w:val="7A4880F6"/>
    <w:styleLink w:val="CurrentLis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92E53"/>
    <w:multiLevelType w:val="hybridMultilevel"/>
    <w:tmpl w:val="B164FB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D417006"/>
    <w:multiLevelType w:val="multilevel"/>
    <w:tmpl w:val="7A4880F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activeWritingStyle w:appName="MSWord" w:lang="fr-FR" w:vendorID="9" w:dllVersion="512" w:checkStyle="1"/>
  <w:activeWritingStyle w:appName="MSWord" w:lang="en-GB" w:vendorID="8" w:dllVersion="513" w:checkStyle="1"/>
  <w:activeWritingStyle w:appName="MSWord" w:lang="it-IT" w:vendorID="3" w:dllVersion="517" w:checkStyle="1"/>
  <w:stylePaneFormatFilter w:val="F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51176C"/>
    <w:rsid w:val="0001579A"/>
    <w:rsid w:val="0002412C"/>
    <w:rsid w:val="00044490"/>
    <w:rsid w:val="000630D7"/>
    <w:rsid w:val="000C0EAC"/>
    <w:rsid w:val="000D73DC"/>
    <w:rsid w:val="001327CD"/>
    <w:rsid w:val="001527BE"/>
    <w:rsid w:val="00152E76"/>
    <w:rsid w:val="00191DF5"/>
    <w:rsid w:val="001B4BE4"/>
    <w:rsid w:val="001F156B"/>
    <w:rsid w:val="001F5C5B"/>
    <w:rsid w:val="001F7E46"/>
    <w:rsid w:val="002120EE"/>
    <w:rsid w:val="00227CDD"/>
    <w:rsid w:val="00245D70"/>
    <w:rsid w:val="0026492F"/>
    <w:rsid w:val="00281998"/>
    <w:rsid w:val="002E2BD5"/>
    <w:rsid w:val="00304289"/>
    <w:rsid w:val="00326007"/>
    <w:rsid w:val="0033318A"/>
    <w:rsid w:val="00345644"/>
    <w:rsid w:val="00346892"/>
    <w:rsid w:val="003A023B"/>
    <w:rsid w:val="003A1DF7"/>
    <w:rsid w:val="004503F0"/>
    <w:rsid w:val="00481BA3"/>
    <w:rsid w:val="00483A16"/>
    <w:rsid w:val="004B64DC"/>
    <w:rsid w:val="004D60A1"/>
    <w:rsid w:val="004D67D8"/>
    <w:rsid w:val="004F3365"/>
    <w:rsid w:val="005072EA"/>
    <w:rsid w:val="0051176C"/>
    <w:rsid w:val="00522F06"/>
    <w:rsid w:val="005315C0"/>
    <w:rsid w:val="005656A5"/>
    <w:rsid w:val="0056719A"/>
    <w:rsid w:val="00585C70"/>
    <w:rsid w:val="005D09D5"/>
    <w:rsid w:val="005E7C0C"/>
    <w:rsid w:val="005F5645"/>
    <w:rsid w:val="0062775A"/>
    <w:rsid w:val="00653495"/>
    <w:rsid w:val="0068692C"/>
    <w:rsid w:val="006E4B5E"/>
    <w:rsid w:val="00702909"/>
    <w:rsid w:val="007100AD"/>
    <w:rsid w:val="007155C4"/>
    <w:rsid w:val="00716EDE"/>
    <w:rsid w:val="00721FDB"/>
    <w:rsid w:val="00726A23"/>
    <w:rsid w:val="00767C39"/>
    <w:rsid w:val="00787909"/>
    <w:rsid w:val="007923FF"/>
    <w:rsid w:val="00797110"/>
    <w:rsid w:val="007A07BA"/>
    <w:rsid w:val="007B5F98"/>
    <w:rsid w:val="00816014"/>
    <w:rsid w:val="0082442F"/>
    <w:rsid w:val="00836560"/>
    <w:rsid w:val="00891CFF"/>
    <w:rsid w:val="0089224C"/>
    <w:rsid w:val="008A4A70"/>
    <w:rsid w:val="008B2E4F"/>
    <w:rsid w:val="008B49E6"/>
    <w:rsid w:val="008C2E3F"/>
    <w:rsid w:val="009024A4"/>
    <w:rsid w:val="00905716"/>
    <w:rsid w:val="00917835"/>
    <w:rsid w:val="00926149"/>
    <w:rsid w:val="00951FF4"/>
    <w:rsid w:val="00980E74"/>
    <w:rsid w:val="00986264"/>
    <w:rsid w:val="00990D76"/>
    <w:rsid w:val="009A2ECC"/>
    <w:rsid w:val="009E2415"/>
    <w:rsid w:val="009F1793"/>
    <w:rsid w:val="00A008D1"/>
    <w:rsid w:val="00A265E0"/>
    <w:rsid w:val="00A47FE0"/>
    <w:rsid w:val="00A7574A"/>
    <w:rsid w:val="00A95D58"/>
    <w:rsid w:val="00AB03C5"/>
    <w:rsid w:val="00AD6812"/>
    <w:rsid w:val="00AF7120"/>
    <w:rsid w:val="00B140C4"/>
    <w:rsid w:val="00B739DA"/>
    <w:rsid w:val="00B83303"/>
    <w:rsid w:val="00BA3E60"/>
    <w:rsid w:val="00BB0E08"/>
    <w:rsid w:val="00BF2F50"/>
    <w:rsid w:val="00C15B22"/>
    <w:rsid w:val="00C43103"/>
    <w:rsid w:val="00C53199"/>
    <w:rsid w:val="00C74E6D"/>
    <w:rsid w:val="00C947C6"/>
    <w:rsid w:val="00CB767B"/>
    <w:rsid w:val="00CE6AE0"/>
    <w:rsid w:val="00CE762D"/>
    <w:rsid w:val="00D11F48"/>
    <w:rsid w:val="00D176BC"/>
    <w:rsid w:val="00D2035A"/>
    <w:rsid w:val="00D31682"/>
    <w:rsid w:val="00D506C8"/>
    <w:rsid w:val="00D5504B"/>
    <w:rsid w:val="00D74EB1"/>
    <w:rsid w:val="00D84F02"/>
    <w:rsid w:val="00D93106"/>
    <w:rsid w:val="00DA256C"/>
    <w:rsid w:val="00DB1B2E"/>
    <w:rsid w:val="00DB5F88"/>
    <w:rsid w:val="00DC0D8B"/>
    <w:rsid w:val="00DC42BE"/>
    <w:rsid w:val="00DC4B4D"/>
    <w:rsid w:val="00DD2E16"/>
    <w:rsid w:val="00DE7277"/>
    <w:rsid w:val="00E01A40"/>
    <w:rsid w:val="00E243E2"/>
    <w:rsid w:val="00E545CF"/>
    <w:rsid w:val="00E6608F"/>
    <w:rsid w:val="00E854E7"/>
    <w:rsid w:val="00E9652D"/>
    <w:rsid w:val="00E97632"/>
    <w:rsid w:val="00EB094E"/>
    <w:rsid w:val="00EC4988"/>
    <w:rsid w:val="00F1030E"/>
    <w:rsid w:val="00F27AAD"/>
    <w:rsid w:val="00F315DF"/>
    <w:rsid w:val="00F37591"/>
    <w:rsid w:val="00F40149"/>
    <w:rsid w:val="00FB570F"/>
    <w:rsid w:val="00FC7DC2"/>
    <w:rsid w:val="00FD65C3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0"/>
    <w:lsdException w:name="footer" w:uiPriority="0"/>
    <w:lsdException w:name="caption" w:semiHidden="1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qFormat="1"/>
    <w:lsdException w:name="Subtitle" w:qFormat="1"/>
    <w:lsdException w:name="Hyperlink" w:uiPriority="0"/>
    <w:lsdException w:name="FollowedHyperlink" w:uiPriority="0"/>
    <w:lsdException w:name="Strong" w:uiPriority="0" w:qFormat="1"/>
    <w:lsdException w:name="Emphasis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No List" w:uiPriority="0"/>
    <w:lsdException w:name="Outline List 1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7B5F98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B5F9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5F9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5F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qFormat/>
    <w:rsid w:val="007B5F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qFormat/>
    <w:rsid w:val="007B5F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7B5F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qFormat/>
    <w:rsid w:val="007B5F98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qFormat/>
    <w:rsid w:val="007B5F98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qFormat/>
    <w:rsid w:val="007B5F9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F98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ECHRPara">
    <w:name w:val="ECHR_Para"/>
    <w:aliases w:val="Ju_Para,Left,First line:  0 cm"/>
    <w:basedOn w:val="Normal"/>
    <w:link w:val="JuParaCar"/>
    <w:uiPriority w:val="12"/>
    <w:qFormat/>
    <w:rsid w:val="007B5F98"/>
    <w:pPr>
      <w:ind w:firstLine="284"/>
    </w:pPr>
    <w:rPr>
      <w:lang w:val="fr-FR" w:eastAsia="fr-FR"/>
    </w:rPr>
  </w:style>
  <w:style w:type="paragraph" w:styleId="Footer">
    <w:name w:val="footer"/>
    <w:basedOn w:val="Normal"/>
    <w:link w:val="FooterChar"/>
    <w:rsid w:val="007B5F9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qFormat/>
    <w:rsid w:val="007B5F98"/>
    <w:pPr>
      <w:tabs>
        <w:tab w:val="left" w:pos="567"/>
        <w:tab w:val="left" w:pos="1134"/>
      </w:tabs>
      <w:jc w:val="left"/>
    </w:pPr>
    <w:rPr>
      <w:lang w:val="fr-FR" w:eastAsia="fr-FR"/>
    </w:rPr>
  </w:style>
  <w:style w:type="paragraph" w:styleId="DocumentMap">
    <w:name w:val="Document Map"/>
    <w:basedOn w:val="Normal"/>
    <w:semiHidden/>
    <w:rsid w:val="00653495"/>
    <w:pPr>
      <w:shd w:val="clear" w:color="auto" w:fill="000080"/>
    </w:pPr>
    <w:rPr>
      <w:rFonts w:ascii="Tahoma" w:hAnsi="Tahoma" w:cs="Tahoma"/>
      <w:sz w:val="20"/>
    </w:rPr>
  </w:style>
  <w:style w:type="paragraph" w:customStyle="1" w:styleId="JuCase">
    <w:name w:val="Ju_Case"/>
    <w:basedOn w:val="Normal"/>
    <w:next w:val="ECHRPara"/>
    <w:rsid w:val="007B5F98"/>
    <w:pPr>
      <w:ind w:firstLine="284"/>
    </w:pPr>
    <w:rPr>
      <w:b/>
    </w:rPr>
  </w:style>
  <w:style w:type="paragraph" w:styleId="FootnoteText">
    <w:name w:val="footnote text"/>
    <w:basedOn w:val="Normal"/>
    <w:link w:val="FootnoteTextChar"/>
    <w:semiHidden/>
    <w:rsid w:val="007B5F9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B5F98"/>
    <w:rPr>
      <w:vertAlign w:val="superscript"/>
    </w:rPr>
  </w:style>
  <w:style w:type="character" w:styleId="PageNumber">
    <w:name w:val="page number"/>
    <w:rsid w:val="00726A23"/>
    <w:rPr>
      <w:rFonts w:ascii="Times New Roman" w:hAnsi="Times New Roman" w:cs="Times New Roman"/>
      <w:sz w:val="18"/>
    </w:rPr>
  </w:style>
  <w:style w:type="character" w:styleId="EndnoteReference">
    <w:name w:val="endnote reference"/>
    <w:semiHidden/>
    <w:rsid w:val="00726A23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726A23"/>
    <w:rPr>
      <w:sz w:val="20"/>
    </w:rPr>
  </w:style>
  <w:style w:type="character" w:styleId="FollowedHyperlink">
    <w:name w:val="FollowedHyperlink"/>
    <w:rsid w:val="00726A23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rsid w:val="007B5F98"/>
    <w:rPr>
      <w:color w:val="0072BC" w:themeColor="hyperlink"/>
      <w:u w:val="single"/>
    </w:rPr>
  </w:style>
  <w:style w:type="paragraph" w:styleId="ListBullet">
    <w:name w:val="List Bullet"/>
    <w:basedOn w:val="Normal"/>
    <w:rsid w:val="00653495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7B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98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7B5F98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B5F98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B5F98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B5F98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B5F98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B5F9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B5F9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B5F9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B5F9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BookTitle">
    <w:name w:val="Book Title"/>
    <w:uiPriority w:val="99"/>
    <w:semiHidden/>
    <w:qFormat/>
    <w:rsid w:val="007B5F98"/>
    <w:rPr>
      <w:i/>
      <w:iCs/>
      <w:smallCaps/>
      <w:spacing w:val="5"/>
    </w:rPr>
  </w:style>
  <w:style w:type="character" w:styleId="Strong">
    <w:name w:val="Strong"/>
    <w:qFormat/>
    <w:rsid w:val="007B5F98"/>
    <w:rPr>
      <w:b/>
      <w:bCs/>
    </w:rPr>
  </w:style>
  <w:style w:type="paragraph" w:styleId="NoSpacing">
    <w:name w:val="No Spacing"/>
    <w:basedOn w:val="Normal"/>
    <w:link w:val="NoSpacingChar"/>
    <w:uiPriority w:val="99"/>
    <w:semiHidden/>
    <w:qFormat/>
    <w:rsid w:val="007B5F98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7B5F98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B5F9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B5F9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B5F9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B5F9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7B5F9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7B5F9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99"/>
    <w:rsid w:val="007B5F98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qFormat/>
    <w:rsid w:val="007B5F9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styleId="SubtleEmphasis">
    <w:name w:val="Subtle Emphasis"/>
    <w:uiPriority w:val="99"/>
    <w:semiHidden/>
    <w:qFormat/>
    <w:rsid w:val="007B5F98"/>
    <w:rPr>
      <w:i/>
      <w:iCs/>
    </w:rPr>
  </w:style>
  <w:style w:type="character" w:styleId="Emphasis">
    <w:name w:val="Emphasis"/>
    <w:uiPriority w:val="99"/>
    <w:semiHidden/>
    <w:qFormat/>
    <w:rsid w:val="007B5F9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7B5F98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F98"/>
    <w:rPr>
      <w:rFonts w:eastAsiaTheme="minorEastAsia"/>
      <w:sz w:val="20"/>
      <w:szCs w:val="20"/>
      <w:lang w:val="en-US" w:eastAsia="en-US"/>
    </w:rPr>
  </w:style>
  <w:style w:type="character" w:styleId="IntenseEmphasis">
    <w:name w:val="Intense Emphasis"/>
    <w:uiPriority w:val="99"/>
    <w:semiHidden/>
    <w:qFormat/>
    <w:rsid w:val="007B5F9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B5F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B5F98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7B5F98"/>
    <w:rPr>
      <w:smallCaps/>
      <w:spacing w:val="5"/>
      <w:u w:val="single"/>
    </w:rPr>
  </w:style>
  <w:style w:type="paragraph" w:customStyle="1" w:styleId="JuAppQuestion">
    <w:name w:val="Ju_App_Question"/>
    <w:basedOn w:val="Normal"/>
    <w:rsid w:val="007B5F98"/>
    <w:pPr>
      <w:numPr>
        <w:numId w:val="11"/>
      </w:numPr>
      <w:jc w:val="left"/>
    </w:pPr>
    <w:rPr>
      <w:b/>
    </w:rPr>
  </w:style>
  <w:style w:type="paragraph" w:customStyle="1" w:styleId="OpiPara">
    <w:name w:val="Opi_Para"/>
    <w:basedOn w:val="ECHRPara"/>
    <w:qFormat/>
    <w:rsid w:val="007B5F98"/>
  </w:style>
  <w:style w:type="paragraph" w:customStyle="1" w:styleId="ECHRParaQuote">
    <w:name w:val="ECHR_Para_Quote"/>
    <w:aliases w:val="Ju_Quot"/>
    <w:basedOn w:val="Normal"/>
    <w:link w:val="JuQuotChar"/>
    <w:qFormat/>
    <w:rsid w:val="007B5F98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ParaSub">
    <w:name w:val="Ju_Para_Sub"/>
    <w:basedOn w:val="ECHRPara"/>
    <w:qFormat/>
    <w:rsid w:val="007B5F98"/>
    <w:pPr>
      <w:ind w:left="284"/>
    </w:pPr>
  </w:style>
  <w:style w:type="paragraph" w:customStyle="1" w:styleId="OpiParaSub">
    <w:name w:val="Opi_Para_Sub"/>
    <w:basedOn w:val="JuParaSub"/>
    <w:qFormat/>
    <w:rsid w:val="007B5F98"/>
  </w:style>
  <w:style w:type="paragraph" w:customStyle="1" w:styleId="OpiQuot">
    <w:name w:val="Opi_Quot"/>
    <w:basedOn w:val="ECHRParaQuote"/>
    <w:qFormat/>
    <w:rsid w:val="007B5F98"/>
  </w:style>
  <w:style w:type="paragraph" w:customStyle="1" w:styleId="OpiQuotSub">
    <w:name w:val="Opi_Quot_Sub"/>
    <w:basedOn w:val="JuQuotSub"/>
    <w:qFormat/>
    <w:rsid w:val="007B5F98"/>
  </w:style>
  <w:style w:type="paragraph" w:styleId="ListParagraph">
    <w:name w:val="List Paragraph"/>
    <w:basedOn w:val="Normal"/>
    <w:uiPriority w:val="99"/>
    <w:semiHidden/>
    <w:qFormat/>
    <w:rsid w:val="007B5F98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7B5F98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B5F98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7B5F98"/>
    <w:rPr>
      <w:smallCaps/>
    </w:rPr>
  </w:style>
  <w:style w:type="table" w:styleId="TableGrid">
    <w:name w:val="Table Grid"/>
    <w:basedOn w:val="TableNormal"/>
    <w:rsid w:val="007B5F98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7B5F98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7B5F98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7B5F98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7B5F98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7B5F98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7B5F98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qFormat/>
    <w:rsid w:val="007B5F9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rsid w:val="007B5F98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7B5F9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qFormat/>
    <w:rsid w:val="007B5F98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qFormat/>
    <w:rsid w:val="007B5F98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link w:val="JuHHeadChar"/>
    <w:qFormat/>
    <w:rsid w:val="007B5F98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Initialled">
    <w:name w:val="Ju_Initialled"/>
    <w:basedOn w:val="Normal"/>
    <w:qFormat/>
    <w:rsid w:val="007B5F98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JuSigned">
    <w:name w:val="Ju_Signed"/>
    <w:basedOn w:val="Normal"/>
    <w:next w:val="JuParaLast"/>
    <w:qFormat/>
    <w:rsid w:val="007B5F98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OpiHA">
    <w:name w:val="Opi_H_A"/>
    <w:basedOn w:val="ECHRHeading1"/>
    <w:next w:val="OpiPara"/>
    <w:qFormat/>
    <w:rsid w:val="007B5F98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7B5F98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7B5F98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qFormat/>
    <w:rsid w:val="007B5F98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rsid w:val="007B5F98"/>
  </w:style>
  <w:style w:type="paragraph" w:styleId="TOAHeading">
    <w:name w:val="toa heading"/>
    <w:basedOn w:val="Normal"/>
    <w:next w:val="Normal"/>
    <w:uiPriority w:val="99"/>
    <w:semiHidden/>
    <w:rsid w:val="007B5F98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Court">
    <w:name w:val="Ju_Court"/>
    <w:basedOn w:val="Normal"/>
    <w:next w:val="Normal"/>
    <w:qFormat/>
    <w:rsid w:val="007B5F9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customStyle="1" w:styleId="ECHRHeading1">
    <w:name w:val="ECHR_Heading_1"/>
    <w:aliases w:val="Ju_H_I_Roman"/>
    <w:basedOn w:val="Heading1"/>
    <w:next w:val="ECHRPara"/>
    <w:link w:val="JuHIRomanChar1"/>
    <w:qFormat/>
    <w:rsid w:val="007B5F9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Heading2">
    <w:name w:val="ECHR_Heading_2"/>
    <w:aliases w:val="Ju_H_A"/>
    <w:basedOn w:val="Heading2"/>
    <w:next w:val="ECHRPara"/>
    <w:qFormat/>
    <w:rsid w:val="007B5F9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Heading3">
    <w:name w:val="ECHR_Heading_3"/>
    <w:aliases w:val="Ju_H_1."/>
    <w:basedOn w:val="Heading3"/>
    <w:next w:val="ECHRPara"/>
    <w:qFormat/>
    <w:rsid w:val="007B5F9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qFormat/>
    <w:rsid w:val="007B5F9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qFormat/>
    <w:rsid w:val="007B5F9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qFormat/>
    <w:rsid w:val="007B5F9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qFormat/>
    <w:rsid w:val="007B5F98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qFormat/>
    <w:rsid w:val="007B5F98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DecList">
    <w:name w:val="Dec_List"/>
    <w:basedOn w:val="Normal"/>
    <w:rsid w:val="007B5F98"/>
    <w:pPr>
      <w:spacing w:before="240"/>
      <w:ind w:left="284"/>
    </w:pPr>
  </w:style>
  <w:style w:type="paragraph" w:customStyle="1" w:styleId="JuList">
    <w:name w:val="Ju_List"/>
    <w:basedOn w:val="Normal"/>
    <w:link w:val="JuListChar"/>
    <w:qFormat/>
    <w:rsid w:val="007B5F98"/>
    <w:pPr>
      <w:ind w:left="340" w:hanging="340"/>
    </w:pPr>
    <w:rPr>
      <w:lang w:val="fr-FR" w:eastAsia="fr-FR"/>
    </w:rPr>
  </w:style>
  <w:style w:type="paragraph" w:customStyle="1" w:styleId="JuLista">
    <w:name w:val="Ju_List_a"/>
    <w:basedOn w:val="JuList"/>
    <w:link w:val="JuListaChar"/>
    <w:qFormat/>
    <w:rsid w:val="007B5F98"/>
    <w:pPr>
      <w:ind w:left="346" w:firstLine="0"/>
    </w:pPr>
  </w:style>
  <w:style w:type="paragraph" w:customStyle="1" w:styleId="JuListi">
    <w:name w:val="Ju_List_i"/>
    <w:basedOn w:val="Normal"/>
    <w:next w:val="JuLista"/>
    <w:qFormat/>
    <w:rsid w:val="007B5F98"/>
    <w:pPr>
      <w:ind w:left="794"/>
    </w:pPr>
    <w:rPr>
      <w:lang w:val="fr-FR" w:eastAsia="fr-FR"/>
    </w:rPr>
  </w:style>
  <w:style w:type="paragraph" w:customStyle="1" w:styleId="OpiH1">
    <w:name w:val="Opi_H_1"/>
    <w:basedOn w:val="ECHRHeading2"/>
    <w:uiPriority w:val="42"/>
    <w:qFormat/>
    <w:rsid w:val="007B5F98"/>
    <w:pPr>
      <w:ind w:left="635" w:hanging="357"/>
      <w:outlineLvl w:val="2"/>
    </w:pPr>
  </w:style>
  <w:style w:type="paragraph" w:customStyle="1" w:styleId="OpiHa0">
    <w:name w:val="Opi_H_a"/>
    <w:basedOn w:val="ECHRHeading3"/>
    <w:qFormat/>
    <w:rsid w:val="007B5F98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qFormat/>
    <w:rsid w:val="007B5F98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0630D7"/>
    <w:pPr>
      <w:numPr>
        <w:numId w:val="12"/>
      </w:numPr>
    </w:pPr>
  </w:style>
  <w:style w:type="numbering" w:styleId="1ai">
    <w:name w:val="Outline List 1"/>
    <w:basedOn w:val="NoList"/>
    <w:rsid w:val="000630D7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rsid w:val="000630D7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630D7"/>
  </w:style>
  <w:style w:type="paragraph" w:styleId="BlockText">
    <w:name w:val="Block Text"/>
    <w:basedOn w:val="Normal"/>
    <w:uiPriority w:val="99"/>
    <w:semiHidden/>
    <w:rsid w:val="000630D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630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0D7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0630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30D7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630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30D7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630D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630D7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630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30D7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630D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630D7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630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30D7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630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30D7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0630D7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0630D7"/>
    <w:pPr>
      <w:ind w:left="4252"/>
    </w:pPr>
  </w:style>
  <w:style w:type="character" w:customStyle="1" w:styleId="ClosingChar">
    <w:name w:val="Closing Char"/>
    <w:basedOn w:val="DefaultParagraphFont"/>
    <w:link w:val="Closing"/>
    <w:rsid w:val="000630D7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063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30D7"/>
    <w:rPr>
      <w:rFonts w:eastAsiaTheme="minorEastAsi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0D7"/>
    <w:rPr>
      <w:rFonts w:eastAsiaTheme="minorEastAsia"/>
      <w:b/>
      <w:bCs/>
      <w:sz w:val="20"/>
      <w:szCs w:val="20"/>
      <w:lang w:val="en-US" w:eastAsia="en-US"/>
    </w:rPr>
  </w:style>
  <w:style w:type="table" w:styleId="DarkList">
    <w:name w:val="Dark List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630D7"/>
  </w:style>
  <w:style w:type="character" w:customStyle="1" w:styleId="DateChar">
    <w:name w:val="Date Char"/>
    <w:basedOn w:val="DefaultParagraphFont"/>
    <w:link w:val="Date"/>
    <w:rsid w:val="000630D7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630D7"/>
  </w:style>
  <w:style w:type="character" w:customStyle="1" w:styleId="E-mailSignatureChar">
    <w:name w:val="E-mail Signature Char"/>
    <w:basedOn w:val="DefaultParagraphFont"/>
    <w:link w:val="E-mailSignature"/>
    <w:rsid w:val="000630D7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0630D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630D7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630D7"/>
  </w:style>
  <w:style w:type="paragraph" w:styleId="HTMLAddress">
    <w:name w:val="HTML Address"/>
    <w:basedOn w:val="Normal"/>
    <w:link w:val="HTMLAddressChar"/>
    <w:uiPriority w:val="99"/>
    <w:semiHidden/>
    <w:rsid w:val="000630D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30D7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0630D7"/>
    <w:rPr>
      <w:i/>
      <w:iCs/>
    </w:rPr>
  </w:style>
  <w:style w:type="character" w:styleId="HTMLCode">
    <w:name w:val="HTML Code"/>
    <w:basedOn w:val="DefaultParagraphFont"/>
    <w:uiPriority w:val="99"/>
    <w:semiHidden/>
    <w:rsid w:val="000630D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630D7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630D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630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30D7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0630D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630D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630D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630D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630D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630D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630D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630D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630D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630D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630D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630D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630D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630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630D7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630D7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630D7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630D7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630D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630D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630D7"/>
  </w:style>
  <w:style w:type="paragraph" w:styleId="List">
    <w:name w:val="List"/>
    <w:basedOn w:val="Normal"/>
    <w:uiPriority w:val="99"/>
    <w:semiHidden/>
    <w:rsid w:val="000630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630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630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630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630D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630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630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630D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0630D7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rsid w:val="000630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630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630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630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630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630D7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rsid w:val="000630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630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630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630D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063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630D7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630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630D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0630D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630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630D7"/>
  </w:style>
  <w:style w:type="character" w:customStyle="1" w:styleId="NoteHeadingChar">
    <w:name w:val="Note Heading Char"/>
    <w:basedOn w:val="DefaultParagraphFont"/>
    <w:link w:val="NoteHeading"/>
    <w:rsid w:val="000630D7"/>
    <w:rPr>
      <w:rFonts w:eastAsiaTheme="minorEastAsi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630D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630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630D7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630D7"/>
  </w:style>
  <w:style w:type="character" w:customStyle="1" w:styleId="SalutationChar">
    <w:name w:val="Salutation Char"/>
    <w:basedOn w:val="DefaultParagraphFont"/>
    <w:link w:val="Salutation"/>
    <w:rsid w:val="000630D7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0630D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30D7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0630D7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630D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630D7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630D7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630D7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630D7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630D7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630D7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630D7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630D7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630D7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630D7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630D7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630D7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630D7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630D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630D7"/>
  </w:style>
  <w:style w:type="table" w:styleId="TableProfessional">
    <w:name w:val="Table Professional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630D7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630D7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630D7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630D7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630D7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630D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630D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630D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630D7"/>
    <w:pPr>
      <w:spacing w:after="100"/>
      <w:ind w:left="1920"/>
    </w:pPr>
  </w:style>
  <w:style w:type="paragraph" w:customStyle="1" w:styleId="PJuPara">
    <w:name w:val="P_Ju_Para"/>
    <w:basedOn w:val="Normal"/>
    <w:rsid w:val="0051176C"/>
    <w:pPr>
      <w:suppressAutoHyphens/>
      <w:ind w:firstLine="284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JuParaCar">
    <w:name w:val="Ju_Para Car"/>
    <w:link w:val="ECHRPara"/>
    <w:uiPriority w:val="12"/>
    <w:rsid w:val="0051176C"/>
    <w:rPr>
      <w:rFonts w:eastAsiaTheme="minorEastAsia"/>
      <w:sz w:val="24"/>
    </w:rPr>
  </w:style>
  <w:style w:type="character" w:customStyle="1" w:styleId="JuHHeadChar">
    <w:name w:val="Ju_H_Head Char"/>
    <w:link w:val="ECHRTitle1"/>
    <w:rsid w:val="0051176C"/>
    <w:rPr>
      <w:rFonts w:asciiTheme="majorHAnsi" w:eastAsiaTheme="minorEastAsia" w:hAnsiTheme="majorHAnsi"/>
      <w:sz w:val="28"/>
    </w:rPr>
  </w:style>
  <w:style w:type="character" w:customStyle="1" w:styleId="JuHIRomanChar1">
    <w:name w:val="Ju_H_I_Roman Char1"/>
    <w:link w:val="ECHRHeading1"/>
    <w:rsid w:val="0051176C"/>
    <w:rPr>
      <w:rFonts w:asciiTheme="majorHAnsi" w:eastAsiaTheme="majorEastAsia" w:hAnsiTheme="majorHAnsi" w:cstheme="majorBidi"/>
      <w:bCs/>
      <w:sz w:val="24"/>
      <w:szCs w:val="28"/>
    </w:rPr>
  </w:style>
  <w:style w:type="paragraph" w:customStyle="1" w:styleId="OpiH10">
    <w:name w:val="Opi_H_1."/>
    <w:basedOn w:val="OpiHA"/>
    <w:next w:val="OpiPara"/>
    <w:rsid w:val="0051176C"/>
    <w:pPr>
      <w:spacing w:before="240" w:after="120"/>
      <w:ind w:left="635"/>
      <w:outlineLvl w:val="2"/>
    </w:pPr>
    <w:rPr>
      <w:rFonts w:ascii="Times New Roman" w:eastAsia="Times New Roman" w:hAnsi="Times New Roman" w:cs="Times New Roman"/>
      <w:b w:val="0"/>
      <w:bCs w:val="0"/>
      <w:i/>
      <w:szCs w:val="20"/>
    </w:rPr>
  </w:style>
  <w:style w:type="character" w:customStyle="1" w:styleId="JuJudgesChar">
    <w:name w:val="Ju_Judges Char"/>
    <w:link w:val="ECHRDecisionBody"/>
    <w:rsid w:val="0051176C"/>
    <w:rPr>
      <w:rFonts w:eastAsiaTheme="minorEastAsia"/>
      <w:sz w:val="24"/>
    </w:rPr>
  </w:style>
  <w:style w:type="character" w:customStyle="1" w:styleId="JuQuotChar">
    <w:name w:val="Ju_Quot Char"/>
    <w:link w:val="ECHRParaQuote"/>
    <w:rsid w:val="0051176C"/>
    <w:rPr>
      <w:rFonts w:eastAsiaTheme="minorEastAsia"/>
      <w:sz w:val="20"/>
    </w:rPr>
  </w:style>
  <w:style w:type="paragraph" w:customStyle="1" w:styleId="SuCoverTitle1">
    <w:name w:val="Su_Cover_Title1"/>
    <w:basedOn w:val="Normal"/>
    <w:next w:val="SuCoverTitle2"/>
    <w:rsid w:val="0051176C"/>
    <w:pPr>
      <w:suppressAutoHyphens/>
      <w:spacing w:before="2500"/>
      <w:jc w:val="center"/>
    </w:pPr>
    <w:rPr>
      <w:rFonts w:ascii="Times New Roman" w:eastAsia="Times New Roman" w:hAnsi="Times New Roman" w:cs="Times New Roman"/>
      <w:sz w:val="22"/>
      <w:szCs w:val="20"/>
      <w:lang w:val="fr-FR" w:eastAsia="fr-FR"/>
    </w:rPr>
  </w:style>
  <w:style w:type="paragraph" w:customStyle="1" w:styleId="SuCoverTitle2">
    <w:name w:val="Su_Cover_Title2"/>
    <w:basedOn w:val="SuCoverTitle1"/>
    <w:next w:val="Normal"/>
    <w:rsid w:val="0051176C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51176C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51176C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51176C"/>
    <w:pPr>
      <w:spacing w:after="120"/>
    </w:pPr>
  </w:style>
  <w:style w:type="paragraph" w:customStyle="1" w:styleId="SuSubject">
    <w:name w:val="Su_Subject"/>
    <w:basedOn w:val="SuSummary"/>
    <w:rsid w:val="0051176C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51176C"/>
    <w:pPr>
      <w:suppressAutoHyphens/>
      <w:spacing w:after="240"/>
      <w:jc w:val="center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JuNames0">
    <w:name w:val="Ju_Names"/>
    <w:rsid w:val="0051176C"/>
    <w:rPr>
      <w:rFonts w:ascii="Times New Roman" w:hAnsi="Times New Roman" w:cs="Times New Roman"/>
      <w:smallCaps/>
    </w:rPr>
  </w:style>
  <w:style w:type="paragraph" w:customStyle="1" w:styleId="PJuQuot">
    <w:name w:val="P_Ju_Quot"/>
    <w:basedOn w:val="Normal"/>
    <w:rsid w:val="0051176C"/>
    <w:pPr>
      <w:suppressAutoHyphens/>
      <w:spacing w:before="120" w:after="120"/>
      <w:ind w:left="403" w:firstLine="176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PListArticleSubject">
    <w:name w:val="P_List_ArticleSubject"/>
    <w:basedOn w:val="Normal"/>
    <w:rsid w:val="0051176C"/>
    <w:pPr>
      <w:tabs>
        <w:tab w:val="left" w:pos="2977"/>
      </w:tabs>
      <w:suppressAutoHyphens/>
      <w:ind w:left="2977" w:hanging="2977"/>
      <w:jc w:val="left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PListCaseNo">
    <w:name w:val="P_List_CaseNo"/>
    <w:basedOn w:val="Normal"/>
    <w:rsid w:val="0051176C"/>
    <w:pPr>
      <w:tabs>
        <w:tab w:val="left" w:pos="1276"/>
      </w:tabs>
      <w:suppressAutoHyphens/>
      <w:spacing w:line="288" w:lineRule="auto"/>
      <w:ind w:left="1276" w:hanging="1276"/>
      <w:jc w:val="left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PListCases">
    <w:name w:val="P_List_Cases"/>
    <w:basedOn w:val="Normal"/>
    <w:rsid w:val="0051176C"/>
    <w:pPr>
      <w:suppressAutoHyphens/>
      <w:spacing w:line="288" w:lineRule="auto"/>
      <w:jc w:val="left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PTextIntro">
    <w:name w:val="P_Text_Intro"/>
    <w:basedOn w:val="Normal"/>
    <w:rsid w:val="0051176C"/>
    <w:pPr>
      <w:suppressAutoHyphens/>
    </w:pPr>
    <w:rPr>
      <w:rFonts w:ascii="Times New Roman" w:eastAsia="Times New Roman" w:hAnsi="Times New Roman" w:cs="Times New Roman"/>
      <w:i/>
      <w:sz w:val="20"/>
      <w:szCs w:val="20"/>
      <w:lang w:val="fr-FR" w:eastAsia="fr-FR"/>
    </w:rPr>
  </w:style>
  <w:style w:type="paragraph" w:customStyle="1" w:styleId="PTitleCover">
    <w:name w:val="P_Title_Cover"/>
    <w:basedOn w:val="Normal"/>
    <w:rsid w:val="0051176C"/>
    <w:pPr>
      <w:suppressAutoHyphens/>
      <w:spacing w:before="250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1Alpha">
    <w:name w:val="P_Title1_Alpha"/>
    <w:basedOn w:val="Normal"/>
    <w:next w:val="Normal"/>
    <w:rsid w:val="0051176C"/>
    <w:pPr>
      <w:suppressAutoHyphens/>
      <w:spacing w:after="12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1IndexArticle">
    <w:name w:val="P_Title1_IndexArticle"/>
    <w:basedOn w:val="Normal"/>
    <w:rsid w:val="0051176C"/>
    <w:pPr>
      <w:suppressAutoHyphens/>
      <w:spacing w:after="12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1IndexKey">
    <w:name w:val="P_Title1_IndexKey"/>
    <w:basedOn w:val="Normal"/>
    <w:rsid w:val="0051176C"/>
    <w:pPr>
      <w:suppressAutoHyphens/>
      <w:spacing w:after="60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en-GB" w:eastAsia="fr-FR"/>
    </w:rPr>
  </w:style>
  <w:style w:type="paragraph" w:customStyle="1" w:styleId="PTitle1Num">
    <w:name w:val="P_Title1_Num"/>
    <w:basedOn w:val="Normal"/>
    <w:next w:val="PListCaseNo"/>
    <w:rsid w:val="0051176C"/>
    <w:pPr>
      <w:suppressAutoHyphens/>
      <w:spacing w:after="72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2Country">
    <w:name w:val="P_Title2_Country"/>
    <w:basedOn w:val="Normal"/>
    <w:next w:val="PListCases"/>
    <w:rsid w:val="0051176C"/>
    <w:pPr>
      <w:keepNext/>
      <w:keepLines/>
      <w:suppressAutoHyphens/>
      <w:spacing w:before="600" w:after="360"/>
      <w:jc w:val="left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customStyle="1" w:styleId="PTitle2Letters">
    <w:name w:val="P_Title2_Letters"/>
    <w:basedOn w:val="Normal"/>
    <w:next w:val="PListCases"/>
    <w:rsid w:val="0051176C"/>
    <w:pPr>
      <w:keepNext/>
      <w:keepLines/>
      <w:suppressAutoHyphens/>
      <w:spacing w:before="600" w:after="360"/>
      <w:jc w:val="left"/>
    </w:pPr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customStyle="1" w:styleId="PTitle2Part">
    <w:name w:val="P_Title2_Part"/>
    <w:basedOn w:val="Normal"/>
    <w:rsid w:val="0051176C"/>
    <w:pPr>
      <w:keepNext/>
      <w:keepLines/>
      <w:suppressAutoHyphens/>
      <w:spacing w:before="600" w:after="240"/>
      <w:jc w:val="center"/>
    </w:pPr>
    <w:rPr>
      <w:rFonts w:ascii="Times New Roman" w:eastAsia="Times New Roman" w:hAnsi="Times New Roman" w:cs="Times New Roman"/>
      <w:b/>
      <w:caps/>
      <w:szCs w:val="20"/>
      <w:lang w:val="fr-FR" w:eastAsia="fr-FR"/>
    </w:rPr>
  </w:style>
  <w:style w:type="paragraph" w:customStyle="1" w:styleId="PTitle3Article">
    <w:name w:val="P_Title3_Article"/>
    <w:basedOn w:val="Normal"/>
    <w:rsid w:val="0051176C"/>
    <w:pPr>
      <w:keepNext/>
      <w:keepLines/>
      <w:suppressAutoHyphens/>
      <w:spacing w:before="360" w:after="120"/>
      <w:jc w:val="center"/>
    </w:pPr>
    <w:rPr>
      <w:rFonts w:ascii="Times New Roman" w:eastAsia="Times New Roman" w:hAnsi="Times New Roman" w:cs="Times New Roman"/>
      <w:b/>
      <w:smallCaps/>
      <w:sz w:val="22"/>
      <w:szCs w:val="20"/>
      <w:lang w:val="fr-FR" w:eastAsia="fr-FR"/>
    </w:rPr>
  </w:style>
  <w:style w:type="paragraph" w:customStyle="1" w:styleId="PTitle4ArticleSub">
    <w:name w:val="P_Title4_Article_Sub"/>
    <w:basedOn w:val="PTitle3Article"/>
    <w:rsid w:val="0051176C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51176C"/>
    <w:pPr>
      <w:keepNext/>
      <w:keepLines/>
      <w:suppressAutoHyphens/>
      <w:spacing w:before="240" w:after="120"/>
    </w:pPr>
    <w:rPr>
      <w:rFonts w:ascii="Times New Roman" w:eastAsia="Times New Roman" w:hAnsi="Times New Roman" w:cs="Times New Roman"/>
      <w:b/>
      <w:i/>
      <w:szCs w:val="20"/>
      <w:lang w:val="fr-FR" w:eastAsia="fr-FR"/>
    </w:rPr>
  </w:style>
  <w:style w:type="paragraph" w:customStyle="1" w:styleId="PTitle6SubjectSub">
    <w:name w:val="P_Title6_Subject_Sub"/>
    <w:basedOn w:val="Normal"/>
    <w:rsid w:val="0051176C"/>
    <w:pPr>
      <w:keepNext/>
      <w:keepLines/>
      <w:suppressAutoHyphens/>
      <w:spacing w:before="240" w:after="120"/>
      <w:ind w:left="284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customStyle="1" w:styleId="PTitle7CaseName">
    <w:name w:val="P_Title7_CaseName"/>
    <w:basedOn w:val="Normal"/>
    <w:rsid w:val="0051176C"/>
    <w:pPr>
      <w:keepLines/>
      <w:suppressAutoHyphens/>
      <w:spacing w:after="240"/>
      <w:jc w:val="right"/>
    </w:pPr>
    <w:rPr>
      <w:rFonts w:ascii="Times New Roman" w:eastAsia="Times New Roman" w:hAnsi="Times New Roman" w:cs="Times New Roman"/>
      <w:sz w:val="22"/>
      <w:szCs w:val="20"/>
      <w:lang w:val="fr-FR" w:eastAsia="fr-FR"/>
    </w:rPr>
  </w:style>
  <w:style w:type="paragraph" w:customStyle="1" w:styleId="AppQuestion">
    <w:name w:val="App_Question"/>
    <w:basedOn w:val="ListBullet"/>
    <w:rsid w:val="0051176C"/>
    <w:pPr>
      <w:numPr>
        <w:numId w:val="0"/>
      </w:numPr>
      <w:tabs>
        <w:tab w:val="num" w:pos="720"/>
      </w:tabs>
      <w:suppressAutoHyphens/>
      <w:ind w:left="720" w:hanging="360"/>
      <w:jc w:val="left"/>
    </w:pPr>
    <w:rPr>
      <w:rFonts w:ascii="Times New Roman" w:eastAsia="Times New Roman" w:hAnsi="Times New Roman" w:cs="Times New Roman"/>
      <w:b/>
      <w:color w:val="333333"/>
      <w:szCs w:val="20"/>
      <w:lang w:val="en-GB" w:eastAsia="fr-FR"/>
    </w:rPr>
  </w:style>
  <w:style w:type="character" w:customStyle="1" w:styleId="JuParaChar">
    <w:name w:val="Ju_Para Char"/>
    <w:rsid w:val="0051176C"/>
    <w:rPr>
      <w:sz w:val="24"/>
      <w:lang w:val="fr-FR" w:eastAsia="fr-FR" w:bidi="ar-SA"/>
    </w:rPr>
  </w:style>
  <w:style w:type="numbering" w:customStyle="1" w:styleId="CurrentList1">
    <w:name w:val="Current List1"/>
    <w:rsid w:val="0051176C"/>
    <w:pPr>
      <w:numPr>
        <w:numId w:val="17"/>
      </w:numPr>
    </w:pPr>
  </w:style>
  <w:style w:type="paragraph" w:customStyle="1" w:styleId="ju-005fpara-002cleft-002cfirst-0020line-003a-0020-00200-0020cm">
    <w:name w:val="ju-005fpara-002cleft-002cfirst-0020line-003a-0020-00200-0020cm"/>
    <w:basedOn w:val="Normal"/>
    <w:rsid w:val="005117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numbering" w:customStyle="1" w:styleId="Style1">
    <w:name w:val="Style1"/>
    <w:rsid w:val="0051176C"/>
    <w:pPr>
      <w:numPr>
        <w:numId w:val="18"/>
      </w:numPr>
    </w:p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51176C"/>
  </w:style>
  <w:style w:type="paragraph" w:customStyle="1" w:styleId="ju-005fh-005fi-005froman">
    <w:name w:val="ju-005fh-005fi-005froman"/>
    <w:basedOn w:val="Normal"/>
    <w:rsid w:val="005117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JuHIRomanChar">
    <w:name w:val="Ju_H_I_Roman Char"/>
    <w:rsid w:val="0051176C"/>
    <w:rPr>
      <w:sz w:val="24"/>
      <w:lang w:val="fr-FR" w:eastAsia="fr-FR" w:bidi="ar-SA"/>
    </w:rPr>
  </w:style>
  <w:style w:type="character" w:customStyle="1" w:styleId="ju-005fpara--char">
    <w:name w:val="ju-005fpara--char"/>
    <w:basedOn w:val="DefaultParagraphFont"/>
    <w:rsid w:val="0051176C"/>
  </w:style>
  <w:style w:type="character" w:customStyle="1" w:styleId="sb8d990e2">
    <w:name w:val="sb8d990e2"/>
    <w:basedOn w:val="DefaultParagraphFont"/>
    <w:rsid w:val="0051176C"/>
  </w:style>
  <w:style w:type="character" w:customStyle="1" w:styleId="sea881cdfhasverticalalignsuper">
    <w:name w:val="sea881cdf hasverticalalignsuper"/>
    <w:basedOn w:val="DefaultParagraphFont"/>
    <w:rsid w:val="0051176C"/>
  </w:style>
  <w:style w:type="character" w:customStyle="1" w:styleId="wordhighlightedcurrentterm">
    <w:name w:val="wordhighlighted currentterm"/>
    <w:basedOn w:val="DefaultParagraphFont"/>
    <w:rsid w:val="0051176C"/>
  </w:style>
  <w:style w:type="character" w:customStyle="1" w:styleId="JuListChar">
    <w:name w:val="Ju_List Char"/>
    <w:basedOn w:val="JuParaCar"/>
    <w:link w:val="JuList"/>
    <w:rsid w:val="0051176C"/>
    <w:rPr>
      <w:rFonts w:eastAsiaTheme="minorEastAsia"/>
      <w:sz w:val="24"/>
    </w:rPr>
  </w:style>
  <w:style w:type="character" w:customStyle="1" w:styleId="JuListaChar">
    <w:name w:val="Ju_List_a Char"/>
    <w:basedOn w:val="JuListChar"/>
    <w:link w:val="JuLista"/>
    <w:rsid w:val="0051176C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footnote text" w:uiPriority="0"/>
    <w:lsdException w:name="annotation text" w:uiPriority="0"/>
    <w:lsdException w:name="footer" w:uiPriority="0"/>
    <w:lsdException w:name="caption" w:semiHidden="1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qFormat="1"/>
    <w:lsdException w:name="Subtitle" w:qFormat="1"/>
    <w:lsdException w:name="Hyperlink" w:uiPriority="0"/>
    <w:lsdException w:name="FollowedHyperlink" w:uiPriority="0"/>
    <w:lsdException w:name="Strong" w:uiPriority="0" w:qFormat="1"/>
    <w:lsdException w:name="Emphasis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No List" w:uiPriority="0"/>
    <w:lsdException w:name="Outline List 1" w:uiPriority="0"/>
    <w:lsdException w:name="Balloon Text" w:uiPriority="0"/>
    <w:lsdException w:name="Table Grid" w:uiPriority="0"/>
    <w:lsdException w:name="Placeholder Text" w:semiHidden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99"/>
    <w:semiHidden/>
    <w:rsid w:val="007B5F98"/>
    <w:pPr>
      <w:jc w:val="both"/>
    </w:pPr>
    <w:rPr>
      <w:rFonts w:eastAsiaTheme="minorEastAsia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B5F9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B5F9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5F9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qFormat/>
    <w:rsid w:val="007B5F9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qFormat/>
    <w:rsid w:val="007B5F9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7B5F9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qFormat/>
    <w:rsid w:val="007B5F98"/>
    <w:pPr>
      <w:outlineLvl w:val="6"/>
    </w:pPr>
    <w:rPr>
      <w:rFonts w:asciiTheme="majorHAnsi" w:eastAsiaTheme="majorEastAsia" w:hAnsiTheme="majorHAnsi" w:cstheme="majorBidi"/>
      <w:i/>
      <w:iCs/>
      <w:sz w:val="22"/>
      <w:lang w:val="fr-FR" w:eastAsia="fr-FR" w:bidi="en-US"/>
    </w:rPr>
  </w:style>
  <w:style w:type="paragraph" w:styleId="Heading8">
    <w:name w:val="heading 8"/>
    <w:basedOn w:val="Normal"/>
    <w:next w:val="Normal"/>
    <w:link w:val="Heading8Char"/>
    <w:qFormat/>
    <w:rsid w:val="007B5F98"/>
    <w:pPr>
      <w:outlineLvl w:val="7"/>
    </w:pPr>
    <w:rPr>
      <w:rFonts w:asciiTheme="majorHAnsi" w:eastAsiaTheme="majorEastAsia" w:hAnsiTheme="majorHAnsi" w:cstheme="majorBidi"/>
      <w:sz w:val="20"/>
      <w:szCs w:val="20"/>
      <w:lang w:val="fr-FR" w:eastAsia="fr-FR" w:bidi="en-US"/>
    </w:rPr>
  </w:style>
  <w:style w:type="paragraph" w:styleId="Heading9">
    <w:name w:val="heading 9"/>
    <w:basedOn w:val="Normal"/>
    <w:next w:val="Normal"/>
    <w:link w:val="Heading9Char"/>
    <w:qFormat/>
    <w:rsid w:val="007B5F9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fr-FR" w:eastAsia="fr-F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5F98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ECHRPara">
    <w:name w:val="ECHR_Para"/>
    <w:aliases w:val="Ju_Para,Left,First line:  0 cm"/>
    <w:basedOn w:val="Normal"/>
    <w:link w:val="JuParaCar"/>
    <w:uiPriority w:val="12"/>
    <w:qFormat/>
    <w:rsid w:val="007B5F98"/>
    <w:pPr>
      <w:ind w:firstLine="284"/>
    </w:pPr>
    <w:rPr>
      <w:lang w:val="fr-FR" w:eastAsia="fr-FR"/>
    </w:rPr>
  </w:style>
  <w:style w:type="paragraph" w:styleId="Footer">
    <w:name w:val="footer"/>
    <w:basedOn w:val="Normal"/>
    <w:link w:val="FooterChar"/>
    <w:rsid w:val="007B5F98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Normal"/>
    <w:link w:val="JuJudgesChar"/>
    <w:qFormat/>
    <w:rsid w:val="007B5F98"/>
    <w:pPr>
      <w:tabs>
        <w:tab w:val="left" w:pos="567"/>
        <w:tab w:val="left" w:pos="1134"/>
      </w:tabs>
      <w:jc w:val="left"/>
    </w:pPr>
    <w:rPr>
      <w:lang w:val="fr-FR" w:eastAsia="fr-FR"/>
    </w:rPr>
  </w:style>
  <w:style w:type="paragraph" w:styleId="DocumentMap">
    <w:name w:val="Document Map"/>
    <w:basedOn w:val="Normal"/>
    <w:semiHidden/>
    <w:rsid w:val="00653495"/>
    <w:pPr>
      <w:shd w:val="clear" w:color="auto" w:fill="000080"/>
    </w:pPr>
    <w:rPr>
      <w:rFonts w:ascii="Tahoma" w:hAnsi="Tahoma" w:cs="Tahoma"/>
      <w:sz w:val="20"/>
    </w:rPr>
  </w:style>
  <w:style w:type="paragraph" w:customStyle="1" w:styleId="JuCase">
    <w:name w:val="Ju_Case"/>
    <w:basedOn w:val="Normal"/>
    <w:next w:val="ECHRPara"/>
    <w:rsid w:val="007B5F98"/>
    <w:pPr>
      <w:ind w:firstLine="284"/>
    </w:pPr>
    <w:rPr>
      <w:b/>
    </w:rPr>
  </w:style>
  <w:style w:type="paragraph" w:styleId="FootnoteText">
    <w:name w:val="footnote text"/>
    <w:basedOn w:val="Normal"/>
    <w:link w:val="FootnoteTextChar"/>
    <w:semiHidden/>
    <w:rsid w:val="007B5F9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B5F98"/>
    <w:rPr>
      <w:vertAlign w:val="superscript"/>
    </w:rPr>
  </w:style>
  <w:style w:type="character" w:styleId="PageNumber">
    <w:name w:val="page number"/>
    <w:rsid w:val="00726A23"/>
    <w:rPr>
      <w:rFonts w:ascii="Times New Roman" w:hAnsi="Times New Roman" w:cs="Times New Roman"/>
      <w:sz w:val="18"/>
    </w:rPr>
  </w:style>
  <w:style w:type="character" w:styleId="EndnoteReference">
    <w:name w:val="endnote reference"/>
    <w:semiHidden/>
    <w:rsid w:val="00726A23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726A23"/>
    <w:rPr>
      <w:sz w:val="20"/>
    </w:rPr>
  </w:style>
  <w:style w:type="character" w:styleId="FollowedHyperlink">
    <w:name w:val="FollowedHyperlink"/>
    <w:rsid w:val="00726A23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basedOn w:val="DefaultParagraphFont"/>
    <w:rsid w:val="007B5F98"/>
    <w:rPr>
      <w:color w:val="0072BC" w:themeColor="hyperlink"/>
      <w:u w:val="single"/>
    </w:rPr>
  </w:style>
  <w:style w:type="paragraph" w:styleId="ListBullet">
    <w:name w:val="List Bullet"/>
    <w:basedOn w:val="Normal"/>
    <w:rsid w:val="00653495"/>
    <w:pPr>
      <w:numPr>
        <w:numId w:val="1"/>
      </w:numPr>
    </w:pPr>
  </w:style>
  <w:style w:type="paragraph" w:styleId="BalloonText">
    <w:name w:val="Balloon Text"/>
    <w:basedOn w:val="Normal"/>
    <w:link w:val="BalloonTextChar"/>
    <w:semiHidden/>
    <w:rsid w:val="007B5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98"/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7B5F98"/>
    <w:rPr>
      <w:rFonts w:asciiTheme="majorHAnsi" w:eastAsiaTheme="majorEastAsia" w:hAnsiTheme="majorHAnsi" w:cstheme="majorBidi"/>
      <w:b/>
      <w:bCs/>
      <w:color w:val="333333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7B5F98"/>
    <w:rPr>
      <w:rFonts w:asciiTheme="majorHAnsi" w:eastAsiaTheme="majorEastAsia" w:hAnsiTheme="majorHAnsi" w:cstheme="majorBidi"/>
      <w:b/>
      <w:bCs/>
      <w:color w:val="4D4D4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7B5F98"/>
    <w:rPr>
      <w:rFonts w:asciiTheme="majorHAnsi" w:eastAsiaTheme="majorEastAsia" w:hAnsiTheme="majorHAnsi" w:cstheme="majorBidi"/>
      <w:b/>
      <w:bCs/>
      <w:color w:val="5F5F5F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7B5F98"/>
    <w:rPr>
      <w:rFonts w:asciiTheme="majorHAnsi" w:eastAsiaTheme="majorEastAsia" w:hAnsiTheme="majorHAnsi" w:cstheme="majorBidi"/>
      <w:b/>
      <w:bCs/>
      <w:i/>
      <w:iCs/>
      <w:color w:val="777777"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B5F98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7B5F9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7B5F98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7B5F98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7B5F98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BookTitle">
    <w:name w:val="Book Title"/>
    <w:uiPriority w:val="99"/>
    <w:semiHidden/>
    <w:qFormat/>
    <w:rsid w:val="007B5F98"/>
    <w:rPr>
      <w:i/>
      <w:iCs/>
      <w:smallCaps/>
      <w:spacing w:val="5"/>
    </w:rPr>
  </w:style>
  <w:style w:type="character" w:styleId="Strong">
    <w:name w:val="Strong"/>
    <w:qFormat/>
    <w:rsid w:val="007B5F98"/>
    <w:rPr>
      <w:b/>
      <w:bCs/>
    </w:rPr>
  </w:style>
  <w:style w:type="paragraph" w:styleId="NoSpacing">
    <w:name w:val="No Spacing"/>
    <w:basedOn w:val="Normal"/>
    <w:link w:val="NoSpacingChar"/>
    <w:uiPriority w:val="99"/>
    <w:semiHidden/>
    <w:qFormat/>
    <w:rsid w:val="007B5F98"/>
    <w:rPr>
      <w:sz w:val="22"/>
      <w:lang w:val="fr-FR" w:eastAsia="fr-FR"/>
    </w:rPr>
  </w:style>
  <w:style w:type="character" w:customStyle="1" w:styleId="NoSpacingChar">
    <w:name w:val="No Spacing Char"/>
    <w:basedOn w:val="DefaultParagraphFont"/>
    <w:link w:val="NoSpacing"/>
    <w:semiHidden/>
    <w:rsid w:val="007B5F98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7B5F9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fr-FR" w:eastAsia="fr-FR"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7B5F98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7B5F9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fr-FR" w:eastAsia="fr-FR" w:bidi="en-US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7B5F98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paragraph" w:customStyle="1" w:styleId="ECHRFooter">
    <w:name w:val="ECHR_Footer"/>
    <w:aliases w:val="Footer_ECHR"/>
    <w:basedOn w:val="Footer"/>
    <w:uiPriority w:val="57"/>
    <w:semiHidden/>
    <w:rsid w:val="007B5F98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7B5F98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HeaderChar">
    <w:name w:val="Header Char"/>
    <w:basedOn w:val="DefaultParagraphFont"/>
    <w:link w:val="Header"/>
    <w:uiPriority w:val="99"/>
    <w:rsid w:val="007B5F98"/>
    <w:rPr>
      <w:sz w:val="24"/>
      <w:lang w:val="en-US" w:eastAsia="en-US"/>
    </w:rPr>
  </w:style>
  <w:style w:type="paragraph" w:customStyle="1" w:styleId="ECHRHeader">
    <w:name w:val="ECHR_Header"/>
    <w:aliases w:val="Ju_Header"/>
    <w:basedOn w:val="Header"/>
    <w:qFormat/>
    <w:rsid w:val="007B5F98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fr-FR" w:eastAsia="fr-FR"/>
    </w:rPr>
  </w:style>
  <w:style w:type="character" w:styleId="SubtleEmphasis">
    <w:name w:val="Subtle Emphasis"/>
    <w:uiPriority w:val="99"/>
    <w:semiHidden/>
    <w:qFormat/>
    <w:rsid w:val="007B5F98"/>
    <w:rPr>
      <w:i/>
      <w:iCs/>
    </w:rPr>
  </w:style>
  <w:style w:type="character" w:styleId="Emphasis">
    <w:name w:val="Emphasis"/>
    <w:uiPriority w:val="99"/>
    <w:semiHidden/>
    <w:qFormat/>
    <w:rsid w:val="007B5F9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7B5F98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F98"/>
    <w:rPr>
      <w:rFonts w:eastAsiaTheme="minorEastAsia"/>
      <w:sz w:val="20"/>
      <w:szCs w:val="20"/>
      <w:lang w:val="en-US" w:eastAsia="en-US"/>
    </w:rPr>
  </w:style>
  <w:style w:type="character" w:styleId="IntenseEmphasis">
    <w:name w:val="Intense Emphasis"/>
    <w:uiPriority w:val="99"/>
    <w:semiHidden/>
    <w:qFormat/>
    <w:rsid w:val="007B5F9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7B5F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fr-FR" w:eastAsia="fr-FR"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7B5F98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7B5F98"/>
    <w:rPr>
      <w:smallCaps/>
      <w:spacing w:val="5"/>
      <w:u w:val="single"/>
    </w:rPr>
  </w:style>
  <w:style w:type="paragraph" w:customStyle="1" w:styleId="JuAppQuestion">
    <w:name w:val="Ju_App_Question"/>
    <w:basedOn w:val="Normal"/>
    <w:rsid w:val="007B5F98"/>
    <w:pPr>
      <w:numPr>
        <w:numId w:val="11"/>
      </w:numPr>
      <w:jc w:val="left"/>
    </w:pPr>
    <w:rPr>
      <w:b/>
    </w:rPr>
  </w:style>
  <w:style w:type="paragraph" w:customStyle="1" w:styleId="OpiPara">
    <w:name w:val="Opi_Para"/>
    <w:basedOn w:val="ECHRPara"/>
    <w:qFormat/>
    <w:rsid w:val="007B5F98"/>
  </w:style>
  <w:style w:type="paragraph" w:customStyle="1" w:styleId="ECHRParaQuote">
    <w:name w:val="ECHR_Para_Quote"/>
    <w:aliases w:val="Ju_Quot"/>
    <w:basedOn w:val="Normal"/>
    <w:link w:val="JuQuotChar"/>
    <w:qFormat/>
    <w:rsid w:val="007B5F98"/>
    <w:pPr>
      <w:spacing w:before="120" w:after="120"/>
      <w:ind w:left="425" w:firstLine="142"/>
    </w:pPr>
    <w:rPr>
      <w:sz w:val="20"/>
      <w:lang w:val="fr-FR" w:eastAsia="fr-FR"/>
    </w:rPr>
  </w:style>
  <w:style w:type="paragraph" w:customStyle="1" w:styleId="JuParaSub">
    <w:name w:val="Ju_Para_Sub"/>
    <w:basedOn w:val="ECHRPara"/>
    <w:qFormat/>
    <w:rsid w:val="007B5F98"/>
    <w:pPr>
      <w:ind w:left="284"/>
    </w:pPr>
  </w:style>
  <w:style w:type="paragraph" w:customStyle="1" w:styleId="OpiParaSub">
    <w:name w:val="Opi_Para_Sub"/>
    <w:basedOn w:val="JuParaSub"/>
    <w:qFormat/>
    <w:rsid w:val="007B5F98"/>
  </w:style>
  <w:style w:type="paragraph" w:customStyle="1" w:styleId="OpiQuot">
    <w:name w:val="Opi_Quot"/>
    <w:basedOn w:val="ECHRParaQuote"/>
    <w:qFormat/>
    <w:rsid w:val="007B5F98"/>
  </w:style>
  <w:style w:type="paragraph" w:customStyle="1" w:styleId="OpiQuotSub">
    <w:name w:val="Opi_Quot_Sub"/>
    <w:basedOn w:val="JuQuotSub"/>
    <w:qFormat/>
    <w:rsid w:val="007B5F98"/>
  </w:style>
  <w:style w:type="paragraph" w:styleId="ListParagraph">
    <w:name w:val="List Paragraph"/>
    <w:basedOn w:val="Normal"/>
    <w:uiPriority w:val="99"/>
    <w:semiHidden/>
    <w:qFormat/>
    <w:rsid w:val="007B5F98"/>
    <w:pPr>
      <w:ind w:left="720"/>
      <w:contextualSpacing/>
    </w:pPr>
    <w:rPr>
      <w:lang w:val="fr-FR" w:eastAsia="fr-FR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7B5F98"/>
    <w:pPr>
      <w:spacing w:before="200"/>
      <w:ind w:left="360" w:right="360"/>
    </w:pPr>
    <w:rPr>
      <w:i/>
      <w:iCs/>
      <w:sz w:val="22"/>
      <w:lang w:val="fr-FR" w:eastAsia="fr-FR"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7B5F98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7B5F98"/>
    <w:rPr>
      <w:smallCaps/>
    </w:rPr>
  </w:style>
  <w:style w:type="table" w:styleId="TableGrid">
    <w:name w:val="Table Grid"/>
    <w:basedOn w:val="TableNormal"/>
    <w:rsid w:val="007B5F98"/>
    <w:rPr>
      <w:rFonts w:eastAsiaTheme="minorEastAsia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7B5F98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7B5F98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7B5F98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7B5F98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7B5F98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7B5F98"/>
    <w:pPr>
      <w:outlineLvl w:val="9"/>
    </w:pPr>
    <w:rPr>
      <w:color w:val="474747" w:themeColor="accent3" w:themeShade="BF"/>
      <w:lang w:val="fr-FR" w:eastAsia="fr-FR"/>
    </w:rPr>
  </w:style>
  <w:style w:type="paragraph" w:customStyle="1" w:styleId="ECHRTitleCentre3">
    <w:name w:val="ECHR_Title_Centre_3"/>
    <w:aliases w:val="Ju_H_Article"/>
    <w:basedOn w:val="Normal"/>
    <w:next w:val="ECHRParaQuote"/>
    <w:qFormat/>
    <w:rsid w:val="007B5F98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fr-FR" w:eastAsia="fr-FR" w:bidi="en-US"/>
    </w:rPr>
  </w:style>
  <w:style w:type="paragraph" w:customStyle="1" w:styleId="ECHRTitleCentre2">
    <w:name w:val="ECHR_Title_Centre_2"/>
    <w:aliases w:val="Dec_H_Case"/>
    <w:basedOn w:val="Normal"/>
    <w:next w:val="ECHRPara"/>
    <w:rsid w:val="007B5F98"/>
    <w:pPr>
      <w:spacing w:after="240"/>
      <w:jc w:val="center"/>
      <w:outlineLvl w:val="0"/>
    </w:pPr>
    <w:rPr>
      <w:rFonts w:asciiTheme="majorHAnsi" w:hAnsiTheme="majorHAnsi"/>
      <w:i/>
    </w:rPr>
  </w:style>
  <w:style w:type="paragraph" w:customStyle="1" w:styleId="JuTitle">
    <w:name w:val="Ju_Title"/>
    <w:basedOn w:val="Normal"/>
    <w:next w:val="ECHRPara"/>
    <w:uiPriority w:val="3"/>
    <w:semiHidden/>
    <w:rsid w:val="007B5F98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qFormat/>
    <w:rsid w:val="007B5F98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QuotSub">
    <w:name w:val="Ju_Quot_Sub"/>
    <w:basedOn w:val="ECHRParaQuote"/>
    <w:qFormat/>
    <w:rsid w:val="007B5F98"/>
    <w:pPr>
      <w:ind w:left="567"/>
    </w:pPr>
  </w:style>
  <w:style w:type="paragraph" w:customStyle="1" w:styleId="ECHRTitle1">
    <w:name w:val="ECHR_Title_1"/>
    <w:aliases w:val="Ju_H_Head"/>
    <w:basedOn w:val="Normal"/>
    <w:next w:val="ECHRPara"/>
    <w:link w:val="JuHHeadChar"/>
    <w:qFormat/>
    <w:rsid w:val="007B5F98"/>
    <w:pPr>
      <w:keepNext/>
      <w:keepLines/>
      <w:spacing w:before="720" w:after="240"/>
      <w:outlineLvl w:val="0"/>
    </w:pPr>
    <w:rPr>
      <w:rFonts w:asciiTheme="majorHAnsi" w:hAnsiTheme="majorHAnsi"/>
      <w:sz w:val="28"/>
      <w:lang w:val="fr-FR" w:eastAsia="fr-FR"/>
    </w:rPr>
  </w:style>
  <w:style w:type="paragraph" w:customStyle="1" w:styleId="JuInitialled">
    <w:name w:val="Ju_Initialled"/>
    <w:basedOn w:val="Normal"/>
    <w:qFormat/>
    <w:rsid w:val="007B5F98"/>
    <w:pPr>
      <w:tabs>
        <w:tab w:val="center" w:pos="6407"/>
      </w:tabs>
      <w:spacing w:before="720"/>
      <w:jc w:val="right"/>
    </w:pPr>
    <w:rPr>
      <w:lang w:val="fr-FR" w:eastAsia="fr-FR"/>
    </w:rPr>
  </w:style>
  <w:style w:type="paragraph" w:customStyle="1" w:styleId="JuSigned">
    <w:name w:val="Ju_Signed"/>
    <w:basedOn w:val="Normal"/>
    <w:next w:val="JuParaLast"/>
    <w:qFormat/>
    <w:rsid w:val="007B5F98"/>
    <w:pPr>
      <w:tabs>
        <w:tab w:val="center" w:pos="851"/>
        <w:tab w:val="center" w:pos="6407"/>
      </w:tabs>
      <w:spacing w:before="720"/>
      <w:jc w:val="left"/>
    </w:pPr>
    <w:rPr>
      <w:lang w:val="fr-FR" w:eastAsia="fr-FR"/>
    </w:rPr>
  </w:style>
  <w:style w:type="paragraph" w:customStyle="1" w:styleId="OpiHA">
    <w:name w:val="Opi_H_A"/>
    <w:basedOn w:val="ECHRHeading1"/>
    <w:next w:val="OpiPara"/>
    <w:qFormat/>
    <w:rsid w:val="007B5F98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7B5F98"/>
    <w:rPr>
      <w:caps w:val="0"/>
      <w:smallCaps/>
    </w:rPr>
  </w:style>
  <w:style w:type="character" w:customStyle="1" w:styleId="JuITMark">
    <w:name w:val="Ju_ITMark"/>
    <w:basedOn w:val="DefaultParagraphFont"/>
    <w:uiPriority w:val="38"/>
    <w:qFormat/>
    <w:rsid w:val="007B5F98"/>
    <w:rPr>
      <w:vanish/>
      <w:color w:val="339966"/>
      <w:sz w:val="14"/>
    </w:rPr>
  </w:style>
  <w:style w:type="paragraph" w:customStyle="1" w:styleId="OpiTranslation">
    <w:name w:val="Opi_Translation"/>
    <w:basedOn w:val="Normal"/>
    <w:next w:val="OpiPara"/>
    <w:qFormat/>
    <w:rsid w:val="007B5F98"/>
    <w:pPr>
      <w:jc w:val="center"/>
      <w:outlineLvl w:val="0"/>
    </w:pPr>
    <w:rPr>
      <w:i/>
      <w:lang w:val="fr-FR" w:eastAsia="fr-FR"/>
    </w:rPr>
  </w:style>
  <w:style w:type="paragraph" w:customStyle="1" w:styleId="DecHTitle">
    <w:name w:val="Dec_H_Title"/>
    <w:basedOn w:val="ECHRTitleCentre1"/>
    <w:rsid w:val="007B5F98"/>
  </w:style>
  <w:style w:type="paragraph" w:styleId="TOAHeading">
    <w:name w:val="toa heading"/>
    <w:basedOn w:val="Normal"/>
    <w:next w:val="Normal"/>
    <w:uiPriority w:val="99"/>
    <w:semiHidden/>
    <w:rsid w:val="007B5F98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Court">
    <w:name w:val="Ju_Court"/>
    <w:basedOn w:val="Normal"/>
    <w:next w:val="Normal"/>
    <w:qFormat/>
    <w:rsid w:val="007B5F98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fr-FR" w:eastAsia="fr-FR" w:bidi="en-US"/>
    </w:rPr>
  </w:style>
  <w:style w:type="paragraph" w:customStyle="1" w:styleId="ECHRHeading1">
    <w:name w:val="ECHR_Heading_1"/>
    <w:aliases w:val="Ju_H_I_Roman"/>
    <w:basedOn w:val="Heading1"/>
    <w:next w:val="ECHRPara"/>
    <w:link w:val="JuHIRomanChar1"/>
    <w:qFormat/>
    <w:rsid w:val="007B5F98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fr-FR" w:eastAsia="fr-FR"/>
    </w:rPr>
  </w:style>
  <w:style w:type="paragraph" w:customStyle="1" w:styleId="ECHRHeading2">
    <w:name w:val="ECHR_Heading_2"/>
    <w:aliases w:val="Ju_H_A"/>
    <w:basedOn w:val="Heading2"/>
    <w:next w:val="ECHRPara"/>
    <w:qFormat/>
    <w:rsid w:val="007B5F98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fr-FR" w:eastAsia="fr-FR"/>
    </w:rPr>
  </w:style>
  <w:style w:type="paragraph" w:customStyle="1" w:styleId="ECHRHeading3">
    <w:name w:val="ECHR_Heading_3"/>
    <w:aliases w:val="Ju_H_1."/>
    <w:basedOn w:val="Heading3"/>
    <w:next w:val="ECHRPara"/>
    <w:qFormat/>
    <w:rsid w:val="007B5F98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fr-FR" w:eastAsia="fr-FR"/>
    </w:rPr>
  </w:style>
  <w:style w:type="paragraph" w:customStyle="1" w:styleId="ECHRHeading4">
    <w:name w:val="ECHR_Heading_4"/>
    <w:aliases w:val="Ju_H_a"/>
    <w:basedOn w:val="Heading4"/>
    <w:next w:val="ECHRPara"/>
    <w:qFormat/>
    <w:rsid w:val="007B5F98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fr-FR" w:eastAsia="fr-FR"/>
    </w:rPr>
  </w:style>
  <w:style w:type="paragraph" w:customStyle="1" w:styleId="ECHRHeading5">
    <w:name w:val="ECHR_Heading_5"/>
    <w:aliases w:val="Ju_H_i"/>
    <w:basedOn w:val="Heading5"/>
    <w:next w:val="ECHRPara"/>
    <w:qFormat/>
    <w:rsid w:val="007B5F98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qFormat/>
    <w:rsid w:val="007B5F98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  <w:lang w:val="fr-FR" w:eastAsia="fr-FR"/>
    </w:rPr>
  </w:style>
  <w:style w:type="paragraph" w:customStyle="1" w:styleId="ECHRHeading7">
    <w:name w:val="ECHR_Heading_7"/>
    <w:aliases w:val="Ju_H_–"/>
    <w:basedOn w:val="Heading7"/>
    <w:next w:val="ECHRPara"/>
    <w:qFormat/>
    <w:rsid w:val="007B5F98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qFormat/>
    <w:rsid w:val="007B5F98"/>
    <w:pPr>
      <w:keepNext/>
      <w:keepLines/>
      <w:spacing w:before="240"/>
      <w:ind w:firstLine="284"/>
    </w:pPr>
    <w:rPr>
      <w:lang w:val="fr-FR" w:eastAsia="fr-FR"/>
    </w:rPr>
  </w:style>
  <w:style w:type="paragraph" w:customStyle="1" w:styleId="DecList">
    <w:name w:val="Dec_List"/>
    <w:basedOn w:val="Normal"/>
    <w:rsid w:val="007B5F98"/>
    <w:pPr>
      <w:spacing w:before="240"/>
      <w:ind w:left="284"/>
    </w:pPr>
  </w:style>
  <w:style w:type="paragraph" w:customStyle="1" w:styleId="JuList">
    <w:name w:val="Ju_List"/>
    <w:basedOn w:val="Normal"/>
    <w:link w:val="JuListChar"/>
    <w:qFormat/>
    <w:rsid w:val="007B5F98"/>
    <w:pPr>
      <w:ind w:left="340" w:hanging="340"/>
    </w:pPr>
    <w:rPr>
      <w:lang w:val="fr-FR" w:eastAsia="fr-FR"/>
    </w:rPr>
  </w:style>
  <w:style w:type="paragraph" w:customStyle="1" w:styleId="JuLista">
    <w:name w:val="Ju_List_a"/>
    <w:basedOn w:val="JuList"/>
    <w:link w:val="JuListaChar"/>
    <w:qFormat/>
    <w:rsid w:val="007B5F98"/>
    <w:pPr>
      <w:ind w:left="346" w:firstLine="0"/>
    </w:pPr>
  </w:style>
  <w:style w:type="paragraph" w:customStyle="1" w:styleId="JuListi">
    <w:name w:val="Ju_List_i"/>
    <w:basedOn w:val="Normal"/>
    <w:next w:val="JuLista"/>
    <w:qFormat/>
    <w:rsid w:val="007B5F98"/>
    <w:pPr>
      <w:ind w:left="794"/>
    </w:pPr>
    <w:rPr>
      <w:lang w:val="fr-FR" w:eastAsia="fr-FR"/>
    </w:rPr>
  </w:style>
  <w:style w:type="paragraph" w:customStyle="1" w:styleId="OpiH1">
    <w:name w:val="Opi_H_1"/>
    <w:basedOn w:val="ECHRHeading2"/>
    <w:uiPriority w:val="42"/>
    <w:qFormat/>
    <w:rsid w:val="007B5F98"/>
    <w:pPr>
      <w:ind w:left="635" w:hanging="357"/>
      <w:outlineLvl w:val="2"/>
    </w:pPr>
  </w:style>
  <w:style w:type="paragraph" w:customStyle="1" w:styleId="OpiHa0">
    <w:name w:val="Opi_H_a"/>
    <w:basedOn w:val="ECHRHeading3"/>
    <w:qFormat/>
    <w:rsid w:val="007B5F98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qFormat/>
    <w:rsid w:val="007B5F98"/>
    <w:pPr>
      <w:ind w:left="1037" w:hanging="357"/>
      <w:outlineLvl w:val="4"/>
    </w:pPr>
    <w:rPr>
      <w:b w:val="0"/>
      <w:i/>
    </w:rPr>
  </w:style>
  <w:style w:type="numbering" w:styleId="111111">
    <w:name w:val="Outline List 2"/>
    <w:basedOn w:val="NoList"/>
    <w:uiPriority w:val="99"/>
    <w:semiHidden/>
    <w:rsid w:val="000630D7"/>
    <w:pPr>
      <w:numPr>
        <w:numId w:val="12"/>
      </w:numPr>
    </w:pPr>
  </w:style>
  <w:style w:type="numbering" w:styleId="1ai">
    <w:name w:val="Outline List 1"/>
    <w:basedOn w:val="NoList"/>
    <w:rsid w:val="000630D7"/>
    <w:pPr>
      <w:numPr>
        <w:numId w:val="13"/>
      </w:numPr>
    </w:pPr>
  </w:style>
  <w:style w:type="numbering" w:styleId="ArticleSection">
    <w:name w:val="Outline List 3"/>
    <w:basedOn w:val="NoList"/>
    <w:uiPriority w:val="99"/>
    <w:semiHidden/>
    <w:rsid w:val="000630D7"/>
    <w:pPr>
      <w:numPr>
        <w:numId w:val="14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0630D7"/>
  </w:style>
  <w:style w:type="paragraph" w:styleId="BlockText">
    <w:name w:val="Block Text"/>
    <w:basedOn w:val="Normal"/>
    <w:uiPriority w:val="99"/>
    <w:semiHidden/>
    <w:rsid w:val="000630D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rsid w:val="000630D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630D7"/>
    <w:rPr>
      <w:rFonts w:eastAsiaTheme="minorEastAsia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0630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630D7"/>
    <w:rPr>
      <w:rFonts w:eastAsiaTheme="minorEastAsia"/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0630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630D7"/>
    <w:rPr>
      <w:rFonts w:eastAsiaTheme="minorEastAsia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0630D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0630D7"/>
    <w:rPr>
      <w:rFonts w:eastAsiaTheme="minorEastAsia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0630D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30D7"/>
    <w:rPr>
      <w:rFonts w:eastAsiaTheme="minorEastAsia"/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0630D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0630D7"/>
    <w:rPr>
      <w:rFonts w:eastAsiaTheme="minorEastAsia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0630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630D7"/>
    <w:rPr>
      <w:rFonts w:eastAsiaTheme="minorEastAsia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630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630D7"/>
    <w:rPr>
      <w:rFonts w:eastAsiaTheme="minorEastAsia"/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semiHidden/>
    <w:qFormat/>
    <w:rsid w:val="000630D7"/>
    <w:pPr>
      <w:spacing w:after="200"/>
    </w:pPr>
    <w:rPr>
      <w:b/>
      <w:bCs/>
      <w:color w:val="0072BC" w:themeColor="accent1"/>
      <w:sz w:val="18"/>
      <w:szCs w:val="18"/>
      <w:lang w:val="fr-FR" w:eastAsia="fr-FR"/>
    </w:rPr>
  </w:style>
  <w:style w:type="paragraph" w:styleId="Closing">
    <w:name w:val="Closing"/>
    <w:basedOn w:val="Normal"/>
    <w:link w:val="ClosingChar"/>
    <w:uiPriority w:val="99"/>
    <w:semiHidden/>
    <w:rsid w:val="000630D7"/>
    <w:pPr>
      <w:ind w:left="4252"/>
    </w:pPr>
  </w:style>
  <w:style w:type="character" w:customStyle="1" w:styleId="ClosingChar">
    <w:name w:val="Closing Char"/>
    <w:basedOn w:val="DefaultParagraphFont"/>
    <w:link w:val="Closing"/>
    <w:rsid w:val="000630D7"/>
    <w:rPr>
      <w:rFonts w:eastAsiaTheme="minorEastAsia"/>
      <w:sz w:val="24"/>
      <w:lang w:val="en-US" w:eastAsia="en-US"/>
    </w:rPr>
  </w:style>
  <w:style w:type="table" w:styleId="ColorfulGrid">
    <w:name w:val="Colorful Grid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rsid w:val="000630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30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30D7"/>
    <w:rPr>
      <w:rFonts w:eastAsiaTheme="minorEastAsi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3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30D7"/>
    <w:rPr>
      <w:rFonts w:eastAsiaTheme="minorEastAsia"/>
      <w:b/>
      <w:bCs/>
      <w:sz w:val="20"/>
      <w:szCs w:val="20"/>
      <w:lang w:val="en-US" w:eastAsia="en-US"/>
    </w:rPr>
  </w:style>
  <w:style w:type="table" w:styleId="DarkList">
    <w:name w:val="Dark List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0630D7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0630D7"/>
  </w:style>
  <w:style w:type="character" w:customStyle="1" w:styleId="DateChar">
    <w:name w:val="Date Char"/>
    <w:basedOn w:val="DefaultParagraphFont"/>
    <w:link w:val="Date"/>
    <w:rsid w:val="000630D7"/>
    <w:rPr>
      <w:rFonts w:eastAsiaTheme="minorEastAsia"/>
      <w:sz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0630D7"/>
  </w:style>
  <w:style w:type="character" w:customStyle="1" w:styleId="E-mailSignatureChar">
    <w:name w:val="E-mail Signature Char"/>
    <w:basedOn w:val="DefaultParagraphFont"/>
    <w:link w:val="E-mailSignature"/>
    <w:rsid w:val="000630D7"/>
    <w:rPr>
      <w:rFonts w:eastAsiaTheme="minorEastAsia"/>
      <w:sz w:val="24"/>
      <w:lang w:val="en-US" w:eastAsia="en-US"/>
    </w:rPr>
  </w:style>
  <w:style w:type="paragraph" w:styleId="EnvelopeAddress">
    <w:name w:val="envelope address"/>
    <w:basedOn w:val="Normal"/>
    <w:uiPriority w:val="99"/>
    <w:semiHidden/>
    <w:rsid w:val="000630D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0630D7"/>
    <w:rPr>
      <w:rFonts w:asciiTheme="majorHAnsi" w:eastAsiaTheme="majorEastAsia" w:hAnsiTheme="majorHAnsi" w:cstheme="majorBidi"/>
      <w:sz w:val="20"/>
      <w:szCs w:val="20"/>
    </w:rPr>
  </w:style>
  <w:style w:type="character" w:styleId="HTMLAcronym">
    <w:name w:val="HTML Acronym"/>
    <w:basedOn w:val="DefaultParagraphFont"/>
    <w:uiPriority w:val="99"/>
    <w:semiHidden/>
    <w:rsid w:val="000630D7"/>
  </w:style>
  <w:style w:type="paragraph" w:styleId="HTMLAddress">
    <w:name w:val="HTML Address"/>
    <w:basedOn w:val="Normal"/>
    <w:link w:val="HTMLAddressChar"/>
    <w:uiPriority w:val="99"/>
    <w:semiHidden/>
    <w:rsid w:val="000630D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630D7"/>
    <w:rPr>
      <w:rFonts w:eastAsiaTheme="minorEastAsia"/>
      <w:i/>
      <w:iCs/>
      <w:sz w:val="24"/>
      <w:lang w:val="en-US" w:eastAsia="en-US"/>
    </w:rPr>
  </w:style>
  <w:style w:type="character" w:styleId="HTMLCite">
    <w:name w:val="HTML Cite"/>
    <w:basedOn w:val="DefaultParagraphFont"/>
    <w:uiPriority w:val="99"/>
    <w:semiHidden/>
    <w:rsid w:val="000630D7"/>
    <w:rPr>
      <w:i/>
      <w:iCs/>
    </w:rPr>
  </w:style>
  <w:style w:type="character" w:styleId="HTMLCode">
    <w:name w:val="HTML Code"/>
    <w:basedOn w:val="DefaultParagraphFont"/>
    <w:uiPriority w:val="99"/>
    <w:semiHidden/>
    <w:rsid w:val="000630D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0630D7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0630D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0630D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630D7"/>
    <w:rPr>
      <w:rFonts w:ascii="Consolas" w:eastAsiaTheme="minorEastAsia" w:hAnsi="Consolas" w:cs="Consolas"/>
      <w:sz w:val="20"/>
      <w:szCs w:val="20"/>
      <w:lang w:val="en-US" w:eastAsia="en-US"/>
    </w:rPr>
  </w:style>
  <w:style w:type="character" w:styleId="HTMLSample">
    <w:name w:val="HTML Sample"/>
    <w:basedOn w:val="DefaultParagraphFont"/>
    <w:uiPriority w:val="99"/>
    <w:semiHidden/>
    <w:rsid w:val="000630D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0630D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0630D7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0630D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0630D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630D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630D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630D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630D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630D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630D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630D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0630D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0630D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0630D7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0630D7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0630D7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0630D7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0630D7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0630D7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0630D7"/>
  </w:style>
  <w:style w:type="paragraph" w:styleId="List">
    <w:name w:val="List"/>
    <w:basedOn w:val="Normal"/>
    <w:uiPriority w:val="99"/>
    <w:semiHidden/>
    <w:rsid w:val="000630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0630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0630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0630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0630D7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0630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0630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0630D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0630D7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rsid w:val="000630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0630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0630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0630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0630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0630D7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rsid w:val="000630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0630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0630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0630D7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rsid w:val="000630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630D7"/>
    <w:rPr>
      <w:rFonts w:ascii="Consolas" w:eastAsiaTheme="minorEastAsia" w:hAnsi="Consolas" w:cs="Consolas"/>
      <w:sz w:val="20"/>
      <w:szCs w:val="20"/>
      <w:lang w:val="en-US" w:eastAsia="en-US"/>
    </w:rPr>
  </w:style>
  <w:style w:type="table" w:styleId="MediumGrid1">
    <w:name w:val="Medium Grid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0630D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063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0630D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0630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630D7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uiPriority w:val="99"/>
    <w:semiHidden/>
    <w:rsid w:val="000630D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0630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0630D7"/>
  </w:style>
  <w:style w:type="character" w:customStyle="1" w:styleId="NoteHeadingChar">
    <w:name w:val="Note Heading Char"/>
    <w:basedOn w:val="DefaultParagraphFont"/>
    <w:link w:val="NoteHeading"/>
    <w:rsid w:val="000630D7"/>
    <w:rPr>
      <w:rFonts w:eastAsiaTheme="minorEastAsia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630D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0630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630D7"/>
    <w:rPr>
      <w:rFonts w:ascii="Consolas" w:eastAsiaTheme="minorEastAsia" w:hAnsi="Consolas" w:cs="Consolas"/>
      <w:sz w:val="21"/>
      <w:szCs w:val="21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630D7"/>
  </w:style>
  <w:style w:type="character" w:customStyle="1" w:styleId="SalutationChar">
    <w:name w:val="Salutation Char"/>
    <w:basedOn w:val="DefaultParagraphFont"/>
    <w:link w:val="Salutation"/>
    <w:rsid w:val="000630D7"/>
    <w:rPr>
      <w:rFonts w:eastAsiaTheme="minorEastAsia"/>
      <w:sz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0630D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630D7"/>
    <w:rPr>
      <w:rFonts w:eastAsiaTheme="minorEastAsia"/>
      <w:sz w:val="24"/>
      <w:lang w:val="en-US" w:eastAsia="en-US"/>
    </w:rPr>
  </w:style>
  <w:style w:type="table" w:styleId="Table3Deffects1">
    <w:name w:val="Table 3D effects 1"/>
    <w:basedOn w:val="TableNormal"/>
    <w:uiPriority w:val="99"/>
    <w:semiHidden/>
    <w:rsid w:val="000630D7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0630D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0630D7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0630D7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0630D7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0630D7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0630D7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0630D7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0630D7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0630D7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0630D7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0630D7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0630D7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0630D7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0630D7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0630D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0630D7"/>
  </w:style>
  <w:style w:type="table" w:styleId="TableProfessional">
    <w:name w:val="Table Professional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0630D7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0630D7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0630D7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0630D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rsid w:val="000630D7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0630D7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0630D7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0630D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630D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630D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630D7"/>
    <w:pPr>
      <w:spacing w:after="100"/>
      <w:ind w:left="1920"/>
    </w:pPr>
  </w:style>
  <w:style w:type="paragraph" w:customStyle="1" w:styleId="PJuPara">
    <w:name w:val="P_Ju_Para"/>
    <w:basedOn w:val="Normal"/>
    <w:rsid w:val="0051176C"/>
    <w:pPr>
      <w:suppressAutoHyphens/>
      <w:ind w:firstLine="284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JuParaCar">
    <w:name w:val="Ju_Para Car"/>
    <w:link w:val="ECHRPara"/>
    <w:uiPriority w:val="12"/>
    <w:rsid w:val="0051176C"/>
    <w:rPr>
      <w:rFonts w:eastAsiaTheme="minorEastAsia"/>
      <w:sz w:val="24"/>
    </w:rPr>
  </w:style>
  <w:style w:type="character" w:customStyle="1" w:styleId="JuHHeadChar">
    <w:name w:val="Ju_H_Head Char"/>
    <w:link w:val="ECHRTitle1"/>
    <w:rsid w:val="0051176C"/>
    <w:rPr>
      <w:rFonts w:asciiTheme="majorHAnsi" w:eastAsiaTheme="minorEastAsia" w:hAnsiTheme="majorHAnsi"/>
      <w:sz w:val="28"/>
    </w:rPr>
  </w:style>
  <w:style w:type="character" w:customStyle="1" w:styleId="JuHIRomanChar1">
    <w:name w:val="Ju_H_I_Roman Char1"/>
    <w:link w:val="ECHRHeading1"/>
    <w:rsid w:val="0051176C"/>
    <w:rPr>
      <w:rFonts w:asciiTheme="majorHAnsi" w:eastAsiaTheme="majorEastAsia" w:hAnsiTheme="majorHAnsi" w:cstheme="majorBidi"/>
      <w:bCs/>
      <w:sz w:val="24"/>
      <w:szCs w:val="28"/>
    </w:rPr>
  </w:style>
  <w:style w:type="paragraph" w:customStyle="1" w:styleId="OpiH10">
    <w:name w:val="Opi_H_1."/>
    <w:basedOn w:val="OpiHA"/>
    <w:next w:val="OpiPara"/>
    <w:rsid w:val="0051176C"/>
    <w:pPr>
      <w:spacing w:before="240" w:after="120"/>
      <w:ind w:left="635"/>
      <w:outlineLvl w:val="2"/>
    </w:pPr>
    <w:rPr>
      <w:rFonts w:ascii="Times New Roman" w:eastAsia="Times New Roman" w:hAnsi="Times New Roman" w:cs="Times New Roman"/>
      <w:b w:val="0"/>
      <w:bCs w:val="0"/>
      <w:i/>
      <w:szCs w:val="20"/>
    </w:rPr>
  </w:style>
  <w:style w:type="character" w:customStyle="1" w:styleId="JuJudgesChar">
    <w:name w:val="Ju_Judges Char"/>
    <w:link w:val="ECHRDecisionBody"/>
    <w:rsid w:val="0051176C"/>
    <w:rPr>
      <w:rFonts w:eastAsiaTheme="minorEastAsia"/>
      <w:sz w:val="24"/>
    </w:rPr>
  </w:style>
  <w:style w:type="character" w:customStyle="1" w:styleId="JuQuotChar">
    <w:name w:val="Ju_Quot Char"/>
    <w:link w:val="ECHRParaQuote"/>
    <w:rsid w:val="0051176C"/>
    <w:rPr>
      <w:rFonts w:eastAsiaTheme="minorEastAsia"/>
      <w:sz w:val="20"/>
    </w:rPr>
  </w:style>
  <w:style w:type="paragraph" w:customStyle="1" w:styleId="SuCoverTitle1">
    <w:name w:val="Su_Cover_Title1"/>
    <w:basedOn w:val="Normal"/>
    <w:next w:val="SuCoverTitle2"/>
    <w:rsid w:val="0051176C"/>
    <w:pPr>
      <w:suppressAutoHyphens/>
      <w:spacing w:before="2500"/>
      <w:jc w:val="center"/>
    </w:pPr>
    <w:rPr>
      <w:rFonts w:ascii="Times New Roman" w:eastAsia="Times New Roman" w:hAnsi="Times New Roman" w:cs="Times New Roman"/>
      <w:sz w:val="22"/>
      <w:szCs w:val="20"/>
      <w:lang w:val="fr-FR" w:eastAsia="fr-FR"/>
    </w:rPr>
  </w:style>
  <w:style w:type="paragraph" w:customStyle="1" w:styleId="SuCoverTitle2">
    <w:name w:val="Su_Cover_Title2"/>
    <w:basedOn w:val="SuCoverTitle1"/>
    <w:next w:val="Normal"/>
    <w:rsid w:val="0051176C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51176C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51176C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51176C"/>
    <w:pPr>
      <w:spacing w:after="120"/>
    </w:pPr>
  </w:style>
  <w:style w:type="paragraph" w:customStyle="1" w:styleId="SuSubject">
    <w:name w:val="Su_Subject"/>
    <w:basedOn w:val="SuSummary"/>
    <w:rsid w:val="0051176C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51176C"/>
    <w:pPr>
      <w:suppressAutoHyphens/>
      <w:spacing w:after="240"/>
      <w:jc w:val="center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customStyle="1" w:styleId="JuNames0">
    <w:name w:val="Ju_Names"/>
    <w:rsid w:val="0051176C"/>
    <w:rPr>
      <w:rFonts w:ascii="Times New Roman" w:hAnsi="Times New Roman" w:cs="Times New Roman"/>
      <w:smallCaps/>
    </w:rPr>
  </w:style>
  <w:style w:type="paragraph" w:customStyle="1" w:styleId="PJuQuot">
    <w:name w:val="P_Ju_Quot"/>
    <w:basedOn w:val="Normal"/>
    <w:rsid w:val="0051176C"/>
    <w:pPr>
      <w:suppressAutoHyphens/>
      <w:spacing w:before="120" w:after="120"/>
      <w:ind w:left="403" w:firstLine="176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PListArticleSubject">
    <w:name w:val="P_List_ArticleSubject"/>
    <w:basedOn w:val="Normal"/>
    <w:rsid w:val="0051176C"/>
    <w:pPr>
      <w:tabs>
        <w:tab w:val="left" w:pos="2977"/>
      </w:tabs>
      <w:suppressAutoHyphens/>
      <w:ind w:left="2977" w:hanging="2977"/>
      <w:jc w:val="left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PListCaseNo">
    <w:name w:val="P_List_CaseNo"/>
    <w:basedOn w:val="Normal"/>
    <w:rsid w:val="0051176C"/>
    <w:pPr>
      <w:tabs>
        <w:tab w:val="left" w:pos="1276"/>
      </w:tabs>
      <w:suppressAutoHyphens/>
      <w:spacing w:line="288" w:lineRule="auto"/>
      <w:ind w:left="1276" w:hanging="1276"/>
      <w:jc w:val="left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PListCases">
    <w:name w:val="P_List_Cases"/>
    <w:basedOn w:val="Normal"/>
    <w:rsid w:val="0051176C"/>
    <w:pPr>
      <w:suppressAutoHyphens/>
      <w:spacing w:line="288" w:lineRule="auto"/>
      <w:jc w:val="left"/>
    </w:pPr>
    <w:rPr>
      <w:rFonts w:ascii="Times New Roman" w:eastAsia="Times New Roman" w:hAnsi="Times New Roman" w:cs="Times New Roman"/>
      <w:szCs w:val="20"/>
      <w:lang w:val="fr-FR" w:eastAsia="fr-FR"/>
    </w:rPr>
  </w:style>
  <w:style w:type="paragraph" w:customStyle="1" w:styleId="PTextIntro">
    <w:name w:val="P_Text_Intro"/>
    <w:basedOn w:val="Normal"/>
    <w:rsid w:val="0051176C"/>
    <w:pPr>
      <w:suppressAutoHyphens/>
    </w:pPr>
    <w:rPr>
      <w:rFonts w:ascii="Times New Roman" w:eastAsia="Times New Roman" w:hAnsi="Times New Roman" w:cs="Times New Roman"/>
      <w:i/>
      <w:sz w:val="20"/>
      <w:szCs w:val="20"/>
      <w:lang w:val="fr-FR" w:eastAsia="fr-FR"/>
    </w:rPr>
  </w:style>
  <w:style w:type="paragraph" w:customStyle="1" w:styleId="PTitleCover">
    <w:name w:val="P_Title_Cover"/>
    <w:basedOn w:val="Normal"/>
    <w:rsid w:val="0051176C"/>
    <w:pPr>
      <w:suppressAutoHyphens/>
      <w:spacing w:before="250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1Alpha">
    <w:name w:val="P_Title1_Alpha"/>
    <w:basedOn w:val="Normal"/>
    <w:next w:val="Normal"/>
    <w:rsid w:val="0051176C"/>
    <w:pPr>
      <w:suppressAutoHyphens/>
      <w:spacing w:after="12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1IndexArticle">
    <w:name w:val="P_Title1_IndexArticle"/>
    <w:basedOn w:val="Normal"/>
    <w:rsid w:val="0051176C"/>
    <w:pPr>
      <w:suppressAutoHyphens/>
      <w:spacing w:after="12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1IndexKey">
    <w:name w:val="P_Title1_IndexKey"/>
    <w:basedOn w:val="Normal"/>
    <w:rsid w:val="0051176C"/>
    <w:pPr>
      <w:suppressAutoHyphens/>
      <w:spacing w:after="60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en-GB" w:eastAsia="fr-FR"/>
    </w:rPr>
  </w:style>
  <w:style w:type="paragraph" w:customStyle="1" w:styleId="PTitle1Num">
    <w:name w:val="P_Title1_Num"/>
    <w:basedOn w:val="Normal"/>
    <w:next w:val="PListCaseNo"/>
    <w:rsid w:val="0051176C"/>
    <w:pPr>
      <w:suppressAutoHyphens/>
      <w:spacing w:after="720"/>
      <w:jc w:val="center"/>
    </w:pPr>
    <w:rPr>
      <w:rFonts w:ascii="Times New Roman" w:eastAsia="Times New Roman" w:hAnsi="Times New Roman" w:cs="Times New Roman"/>
      <w:b/>
      <w:smallCaps/>
      <w:sz w:val="30"/>
      <w:szCs w:val="20"/>
      <w:lang w:val="fr-FR" w:eastAsia="fr-FR"/>
    </w:rPr>
  </w:style>
  <w:style w:type="paragraph" w:customStyle="1" w:styleId="PTitle2Country">
    <w:name w:val="P_Title2_Country"/>
    <w:basedOn w:val="Normal"/>
    <w:next w:val="PListCases"/>
    <w:rsid w:val="0051176C"/>
    <w:pPr>
      <w:keepNext/>
      <w:keepLines/>
      <w:suppressAutoHyphens/>
      <w:spacing w:before="600" w:after="360"/>
      <w:jc w:val="left"/>
    </w:pPr>
    <w:rPr>
      <w:rFonts w:ascii="Times New Roman" w:eastAsia="Times New Roman" w:hAnsi="Times New Roman" w:cs="Times New Roman"/>
      <w:b/>
      <w:szCs w:val="20"/>
      <w:lang w:val="fr-FR" w:eastAsia="fr-FR"/>
    </w:rPr>
  </w:style>
  <w:style w:type="paragraph" w:customStyle="1" w:styleId="PTitle2Letters">
    <w:name w:val="P_Title2_Letters"/>
    <w:basedOn w:val="Normal"/>
    <w:next w:val="PListCases"/>
    <w:rsid w:val="0051176C"/>
    <w:pPr>
      <w:keepNext/>
      <w:keepLines/>
      <w:suppressAutoHyphens/>
      <w:spacing w:before="600" w:after="360"/>
      <w:jc w:val="left"/>
    </w:pPr>
    <w:rPr>
      <w:rFonts w:ascii="Times New Roman" w:eastAsia="Times New Roman" w:hAnsi="Times New Roman" w:cs="Times New Roman"/>
      <w:b/>
      <w:sz w:val="28"/>
      <w:szCs w:val="20"/>
      <w:lang w:val="fr-FR" w:eastAsia="fr-FR"/>
    </w:rPr>
  </w:style>
  <w:style w:type="paragraph" w:customStyle="1" w:styleId="PTitle2Part">
    <w:name w:val="P_Title2_Part"/>
    <w:basedOn w:val="Normal"/>
    <w:rsid w:val="0051176C"/>
    <w:pPr>
      <w:keepNext/>
      <w:keepLines/>
      <w:suppressAutoHyphens/>
      <w:spacing w:before="600" w:after="240"/>
      <w:jc w:val="center"/>
    </w:pPr>
    <w:rPr>
      <w:rFonts w:ascii="Times New Roman" w:eastAsia="Times New Roman" w:hAnsi="Times New Roman" w:cs="Times New Roman"/>
      <w:b/>
      <w:caps/>
      <w:szCs w:val="20"/>
      <w:lang w:val="fr-FR" w:eastAsia="fr-FR"/>
    </w:rPr>
  </w:style>
  <w:style w:type="paragraph" w:customStyle="1" w:styleId="PTitle3Article">
    <w:name w:val="P_Title3_Article"/>
    <w:basedOn w:val="Normal"/>
    <w:rsid w:val="0051176C"/>
    <w:pPr>
      <w:keepNext/>
      <w:keepLines/>
      <w:suppressAutoHyphens/>
      <w:spacing w:before="360" w:after="120"/>
      <w:jc w:val="center"/>
    </w:pPr>
    <w:rPr>
      <w:rFonts w:ascii="Times New Roman" w:eastAsia="Times New Roman" w:hAnsi="Times New Roman" w:cs="Times New Roman"/>
      <w:b/>
      <w:smallCaps/>
      <w:sz w:val="22"/>
      <w:szCs w:val="20"/>
      <w:lang w:val="fr-FR" w:eastAsia="fr-FR"/>
    </w:rPr>
  </w:style>
  <w:style w:type="paragraph" w:customStyle="1" w:styleId="PTitle4ArticleSub">
    <w:name w:val="P_Title4_Article_Sub"/>
    <w:basedOn w:val="PTitle3Article"/>
    <w:rsid w:val="0051176C"/>
    <w:pPr>
      <w:spacing w:before="240"/>
    </w:pPr>
    <w:rPr>
      <w:smallCaps w:val="0"/>
      <w:sz w:val="20"/>
    </w:rPr>
  </w:style>
  <w:style w:type="paragraph" w:customStyle="1" w:styleId="PTitle5Subject">
    <w:name w:val="P_Title5_Subject"/>
    <w:basedOn w:val="Normal"/>
    <w:rsid w:val="0051176C"/>
    <w:pPr>
      <w:keepNext/>
      <w:keepLines/>
      <w:suppressAutoHyphens/>
      <w:spacing w:before="240" w:after="120"/>
    </w:pPr>
    <w:rPr>
      <w:rFonts w:ascii="Times New Roman" w:eastAsia="Times New Roman" w:hAnsi="Times New Roman" w:cs="Times New Roman"/>
      <w:b/>
      <w:i/>
      <w:szCs w:val="20"/>
      <w:lang w:val="fr-FR" w:eastAsia="fr-FR"/>
    </w:rPr>
  </w:style>
  <w:style w:type="paragraph" w:customStyle="1" w:styleId="PTitle6SubjectSub">
    <w:name w:val="P_Title6_Subject_Sub"/>
    <w:basedOn w:val="Normal"/>
    <w:rsid w:val="0051176C"/>
    <w:pPr>
      <w:keepNext/>
      <w:keepLines/>
      <w:suppressAutoHyphens/>
      <w:spacing w:before="240" w:after="120"/>
      <w:ind w:left="284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customStyle="1" w:styleId="PTitle7CaseName">
    <w:name w:val="P_Title7_CaseName"/>
    <w:basedOn w:val="Normal"/>
    <w:rsid w:val="0051176C"/>
    <w:pPr>
      <w:keepLines/>
      <w:suppressAutoHyphens/>
      <w:spacing w:after="240"/>
      <w:jc w:val="right"/>
    </w:pPr>
    <w:rPr>
      <w:rFonts w:ascii="Times New Roman" w:eastAsia="Times New Roman" w:hAnsi="Times New Roman" w:cs="Times New Roman"/>
      <w:sz w:val="22"/>
      <w:szCs w:val="20"/>
      <w:lang w:val="fr-FR" w:eastAsia="fr-FR"/>
    </w:rPr>
  </w:style>
  <w:style w:type="paragraph" w:customStyle="1" w:styleId="AppQuestion">
    <w:name w:val="App_Question"/>
    <w:basedOn w:val="ListBullet"/>
    <w:rsid w:val="0051176C"/>
    <w:pPr>
      <w:numPr>
        <w:numId w:val="0"/>
      </w:numPr>
      <w:tabs>
        <w:tab w:val="num" w:pos="720"/>
      </w:tabs>
      <w:suppressAutoHyphens/>
      <w:ind w:left="720" w:hanging="360"/>
      <w:jc w:val="left"/>
    </w:pPr>
    <w:rPr>
      <w:rFonts w:ascii="Times New Roman" w:eastAsia="Times New Roman" w:hAnsi="Times New Roman" w:cs="Times New Roman"/>
      <w:b/>
      <w:color w:val="333333"/>
      <w:szCs w:val="20"/>
      <w:lang w:val="en-GB" w:eastAsia="fr-FR"/>
    </w:rPr>
  </w:style>
  <w:style w:type="character" w:customStyle="1" w:styleId="JuParaChar">
    <w:name w:val="Ju_Para Char"/>
    <w:rsid w:val="0051176C"/>
    <w:rPr>
      <w:sz w:val="24"/>
      <w:lang w:val="fr-FR" w:eastAsia="fr-FR" w:bidi="ar-SA"/>
    </w:rPr>
  </w:style>
  <w:style w:type="numbering" w:customStyle="1" w:styleId="CurrentList1">
    <w:name w:val="Current List1"/>
    <w:rsid w:val="0051176C"/>
    <w:pPr>
      <w:numPr>
        <w:numId w:val="17"/>
      </w:numPr>
    </w:pPr>
  </w:style>
  <w:style w:type="paragraph" w:customStyle="1" w:styleId="ju-005fpara-002cleft-002cfirst-0020line-003a-0020-00200-0020cm">
    <w:name w:val="ju-005fpara-002cleft-002cfirst-0020line-003a-0020-00200-0020cm"/>
    <w:basedOn w:val="Normal"/>
    <w:rsid w:val="005117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numbering" w:customStyle="1" w:styleId="Style1">
    <w:name w:val="Style1"/>
    <w:rsid w:val="0051176C"/>
    <w:pPr>
      <w:numPr>
        <w:numId w:val="18"/>
      </w:numPr>
    </w:p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rsid w:val="0051176C"/>
  </w:style>
  <w:style w:type="paragraph" w:customStyle="1" w:styleId="ju-005fh-005fi-005froman">
    <w:name w:val="ju-005fh-005fi-005froman"/>
    <w:basedOn w:val="Normal"/>
    <w:rsid w:val="005117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JuHIRomanChar">
    <w:name w:val="Ju_H_I_Roman Char"/>
    <w:rsid w:val="0051176C"/>
    <w:rPr>
      <w:sz w:val="24"/>
      <w:lang w:val="fr-FR" w:eastAsia="fr-FR" w:bidi="ar-SA"/>
    </w:rPr>
  </w:style>
  <w:style w:type="character" w:customStyle="1" w:styleId="ju-005fpara--char">
    <w:name w:val="ju-005fpara--char"/>
    <w:basedOn w:val="DefaultParagraphFont"/>
    <w:rsid w:val="0051176C"/>
  </w:style>
  <w:style w:type="character" w:customStyle="1" w:styleId="sb8d990e2">
    <w:name w:val="sb8d990e2"/>
    <w:basedOn w:val="DefaultParagraphFont"/>
    <w:rsid w:val="0051176C"/>
  </w:style>
  <w:style w:type="character" w:customStyle="1" w:styleId="sea881cdfhasverticalalignsuper">
    <w:name w:val="sea881cdf hasverticalalignsuper"/>
    <w:basedOn w:val="DefaultParagraphFont"/>
    <w:rsid w:val="0051176C"/>
  </w:style>
  <w:style w:type="character" w:customStyle="1" w:styleId="wordhighlightedcurrentterm">
    <w:name w:val="wordhighlighted currentterm"/>
    <w:basedOn w:val="DefaultParagraphFont"/>
    <w:rsid w:val="0051176C"/>
  </w:style>
  <w:style w:type="character" w:customStyle="1" w:styleId="JuListChar">
    <w:name w:val="Ju_List Char"/>
    <w:basedOn w:val="JuParaCar"/>
    <w:link w:val="JuList"/>
    <w:rsid w:val="0051176C"/>
    <w:rPr>
      <w:rFonts w:eastAsiaTheme="minorEastAsia"/>
      <w:sz w:val="24"/>
    </w:rPr>
  </w:style>
  <w:style w:type="character" w:customStyle="1" w:styleId="JuListaChar">
    <w:name w:val="Ju_List_a Char"/>
    <w:basedOn w:val="JuListChar"/>
    <w:link w:val="JuLista"/>
    <w:rsid w:val="0051176C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D63B2E-50B1-40E9-AC55-7057330FDA2E}"/>
</file>

<file path=customXml/itemProps2.xml><?xml version="1.0" encoding="utf-8"?>
<ds:datastoreItem xmlns:ds="http://schemas.openxmlformats.org/officeDocument/2006/customXml" ds:itemID="{63DF268E-9232-4979-B1EA-05A2E35FDADB}"/>
</file>

<file path=customXml/itemProps3.xml><?xml version="1.0" encoding="utf-8"?>
<ds:datastoreItem xmlns:ds="http://schemas.openxmlformats.org/officeDocument/2006/customXml" ds:itemID="{C2A45980-D28D-4D53-8B14-256F2F48A1DD}"/>
</file>

<file path=customXml/itemProps4.xml><?xml version="1.0" encoding="utf-8"?>
<ds:datastoreItem xmlns:ds="http://schemas.openxmlformats.org/officeDocument/2006/customXml" ds:itemID="{11F8E045-FA10-446E-A70A-F309E15D94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3644</Words>
  <Characters>20773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ECHR</vt:lpstr>
      <vt:lpstr>DF2.00</vt:lpstr>
    </vt:vector>
  </TitlesOfParts>
  <Manager/>
  <Company/>
  <LinksUpToDate>false</LinksUpToDate>
  <CharactersWithSpaces>24369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keywords/>
  <cp:lastModifiedBy/>
  <cp:revision>1</cp:revision>
  <cp:lastPrinted>2000-02-18T08:08:00Z</cp:lastPrinted>
  <dcterms:created xsi:type="dcterms:W3CDTF">2013-12-10T14:20:00Z</dcterms:created>
  <dcterms:modified xsi:type="dcterms:W3CDTF">2013-12-10T14:20:00Z</dcterms:modified>
  <cp:category>ECHR Template</cp:category>
</cp:coreProperties>
</file>